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F8" w:rsidRDefault="003442F8">
      <w:pPr>
        <w:tabs>
          <w:tab w:val="left" w:pos="6000"/>
        </w:tabs>
        <w:ind w:left="5400"/>
        <w:rPr>
          <w:rFonts w:ascii="Verdana" w:hAnsi="Verdana"/>
          <w:b/>
          <w:sz w:val="32"/>
        </w:rPr>
      </w:pPr>
      <w:r>
        <w:rPr>
          <w:rFonts w:ascii="Verdana" w:hAnsi="Verdana"/>
          <w:noProof/>
        </w:rPr>
        <w:pict>
          <v:shapetype id="_x0000_t202" coordsize="21600,21600" o:spt="202" path="m,l,21600r21600,l21600,xe">
            <v:stroke joinstyle="miter"/>
            <v:path gradientshapeok="t" o:connecttype="rect"/>
          </v:shapetype>
          <v:shape id="_x0000_s1027" type="#_x0000_t202" style="position:absolute;left:0;text-align:left;margin-left:208.05pt;margin-top:-25.3pt;width:299.3pt;height:36pt;z-index:251658240" stroked="f">
            <v:textbox style="mso-next-textbox:#_x0000_s1027" inset="0,0,0,0">
              <w:txbxContent>
                <w:p w:rsidR="003442F8" w:rsidRDefault="003442F8">
                  <w:pPr>
                    <w:pStyle w:val="Heading1"/>
                    <w:jc w:val="right"/>
                  </w:pPr>
                  <w:r>
                    <w:t>Health and safety factsheet</w:t>
                  </w:r>
                </w:p>
              </w:txbxContent>
            </v:textbox>
          </v:shape>
        </w:pict>
      </w:r>
      <w:r w:rsidR="00DB1F0D">
        <w:rPr>
          <w:rFonts w:ascii="Verdana" w:hAnsi="Verdana"/>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2219325" cy="781050"/>
            <wp:effectExtent l="19050" t="0" r="9525" b="0"/>
            <wp:wrapNone/>
            <wp:docPr id="2" name="Picture 2" descr="ucu_rgb_col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u_rgb_col_lh"/>
                    <pic:cNvPicPr>
                      <a:picLocks noChangeAspect="1" noChangeArrowheads="1"/>
                    </pic:cNvPicPr>
                  </pic:nvPicPr>
                  <pic:blipFill>
                    <a:blip r:embed="rId5" cstate="print"/>
                    <a:srcRect/>
                    <a:stretch>
                      <a:fillRect/>
                    </a:stretch>
                  </pic:blipFill>
                  <pic:spPr bwMode="auto">
                    <a:xfrm>
                      <a:off x="0" y="0"/>
                      <a:ext cx="2219325" cy="781050"/>
                    </a:xfrm>
                    <a:prstGeom prst="rect">
                      <a:avLst/>
                    </a:prstGeom>
                    <a:noFill/>
                    <a:ln w="9525">
                      <a:noFill/>
                      <a:miter lim="800000"/>
                      <a:headEnd/>
                      <a:tailEnd/>
                    </a:ln>
                  </pic:spPr>
                </pic:pic>
              </a:graphicData>
            </a:graphic>
          </wp:anchor>
        </w:drawing>
      </w:r>
      <w:r>
        <w:rPr>
          <w:rFonts w:ascii="Verdana" w:hAnsi="Verdana"/>
          <w:b/>
          <w:sz w:val="32"/>
        </w:rPr>
        <w:tab/>
      </w:r>
    </w:p>
    <w:p w:rsidR="003442F8" w:rsidRDefault="003442F8">
      <w:pPr>
        <w:tabs>
          <w:tab w:val="left" w:pos="6000"/>
        </w:tabs>
        <w:rPr>
          <w:rFonts w:ascii="Verdana" w:hAnsi="Verdana"/>
          <w:b/>
          <w:sz w:val="32"/>
        </w:rPr>
      </w:pPr>
    </w:p>
    <w:p w:rsidR="003442F8" w:rsidRDefault="003442F8">
      <w:pPr>
        <w:tabs>
          <w:tab w:val="left" w:pos="6000"/>
        </w:tabs>
        <w:rPr>
          <w:rFonts w:ascii="Verdana" w:hAnsi="Verdana"/>
          <w:b/>
          <w:sz w:val="32"/>
        </w:rPr>
      </w:pPr>
    </w:p>
    <w:p w:rsidR="003442F8" w:rsidRDefault="003442F8" w:rsidP="000C5DAE">
      <w:pPr>
        <w:tabs>
          <w:tab w:val="left" w:pos="6000"/>
        </w:tabs>
        <w:rPr>
          <w:rFonts w:ascii="Verdana" w:hAnsi="Verdana"/>
          <w:b/>
          <w:sz w:val="32"/>
        </w:rPr>
      </w:pPr>
    </w:p>
    <w:p w:rsidR="000C5DAE" w:rsidRPr="000C5DAE" w:rsidRDefault="000C5DAE" w:rsidP="000C5DAE">
      <w:pPr>
        <w:rPr>
          <w:rFonts w:ascii="Verdana" w:hAnsi="Verdana"/>
          <w:b/>
          <w:color w:val="330066"/>
          <w:sz w:val="28"/>
          <w:szCs w:val="28"/>
        </w:rPr>
      </w:pPr>
      <w:r w:rsidRPr="000C5DAE">
        <w:rPr>
          <w:rFonts w:ascii="Verdana" w:hAnsi="Verdana"/>
          <w:b/>
          <w:color w:val="330066"/>
          <w:sz w:val="28"/>
          <w:szCs w:val="28"/>
        </w:rPr>
        <w:t>Driving at work: managing road risk</w:t>
      </w:r>
    </w:p>
    <w:p w:rsidR="000C5DAE" w:rsidRPr="00C34D93" w:rsidRDefault="000C5DAE" w:rsidP="000C5DAE">
      <w:pPr>
        <w:rPr>
          <w:rFonts w:ascii="Verdana" w:hAnsi="Verdana"/>
          <w:b/>
        </w:rPr>
      </w:pPr>
    </w:p>
    <w:p w:rsidR="000C5DAE" w:rsidRPr="000C5DAE" w:rsidRDefault="000C5DAE" w:rsidP="000C5DAE">
      <w:pPr>
        <w:rPr>
          <w:rFonts w:ascii="Verdana" w:hAnsi="Verdana"/>
          <w:sz w:val="21"/>
          <w:szCs w:val="21"/>
        </w:rPr>
      </w:pPr>
      <w:r w:rsidRPr="000C5DAE">
        <w:rPr>
          <w:rFonts w:ascii="Verdana" w:hAnsi="Verdana"/>
          <w:sz w:val="21"/>
          <w:szCs w:val="21"/>
        </w:rPr>
        <w:t>Insurance comparison website Go Compare estimates</w:t>
      </w:r>
      <w:r w:rsidR="00537716">
        <w:rPr>
          <w:rFonts w:ascii="Verdana" w:hAnsi="Verdana"/>
          <w:sz w:val="21"/>
          <w:szCs w:val="21"/>
        </w:rPr>
        <w:t xml:space="preserve"> (April 2011) </w:t>
      </w:r>
      <w:r w:rsidRPr="000C5DAE">
        <w:rPr>
          <w:rFonts w:ascii="Verdana" w:hAnsi="Verdana"/>
          <w:sz w:val="21"/>
          <w:szCs w:val="21"/>
        </w:rPr>
        <w:t>that as many as 5 million people use their own vehicle for work activity. This will include many UCU members who visit students on placement, move between sites to teach or to attend meetings, visit employers, undertake a CPD activity, go to events to recruit students etc. These activities are directly work-related, and as such they are outside the standard cover usually offered by vehicle insurance policies, which is limited to social, domestic and pleasure purposes, and to travel to and from a single place of work. So any work-related travel won’t be covered.  It is classed as business use, and it needs an extension of your insurance cover.</w:t>
      </w: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The forms that insurance companies use for notification of an incident or making claims ask for what purpose the vehicle was being used when the incident happened. In the event of an incident or crash while driving on college or university business, without that cover extension the insurer would refuse to pay for repairs or third party damage or harm.</w:t>
      </w:r>
    </w:p>
    <w:p w:rsidR="000C5DAE" w:rsidRPr="000C5DAE" w:rsidRDefault="000C5DAE" w:rsidP="000C5DAE">
      <w:pPr>
        <w:pStyle w:val="NormalWeb"/>
        <w:spacing w:before="0" w:beforeAutospacing="0" w:after="0" w:afterAutospacing="0"/>
        <w:rPr>
          <w:rFonts w:cs="Tahoma"/>
          <w:color w:val="000000"/>
          <w:sz w:val="21"/>
          <w:szCs w:val="21"/>
        </w:rPr>
      </w:pPr>
    </w:p>
    <w:p w:rsidR="000C5DAE" w:rsidRDefault="000C5DAE" w:rsidP="000C5DAE">
      <w:pPr>
        <w:rPr>
          <w:rFonts w:ascii="Verdana" w:hAnsi="Verdana" w:cs="Tahoma"/>
          <w:color w:val="000000"/>
          <w:sz w:val="21"/>
          <w:szCs w:val="21"/>
        </w:rPr>
      </w:pPr>
      <w:r w:rsidRPr="000C5DAE">
        <w:rPr>
          <w:rFonts w:ascii="Verdana" w:hAnsi="Verdana" w:cs="Tahoma"/>
          <w:color w:val="000000"/>
          <w:sz w:val="21"/>
          <w:szCs w:val="21"/>
        </w:rPr>
        <w:t>It get</w:t>
      </w:r>
      <w:r w:rsidR="00537716">
        <w:rPr>
          <w:rFonts w:ascii="Verdana" w:hAnsi="Verdana" w:cs="Tahoma"/>
          <w:color w:val="000000"/>
          <w:sz w:val="21"/>
          <w:szCs w:val="21"/>
        </w:rPr>
        <w:t>s</w:t>
      </w:r>
      <w:r w:rsidRPr="000C5DAE">
        <w:rPr>
          <w:rFonts w:ascii="Verdana" w:hAnsi="Verdana" w:cs="Tahoma"/>
          <w:color w:val="000000"/>
          <w:sz w:val="21"/>
          <w:szCs w:val="21"/>
        </w:rPr>
        <w:t xml:space="preserve"> worse.  If the police attend an incident, </w:t>
      </w:r>
      <w:r w:rsidR="00537716">
        <w:rPr>
          <w:rFonts w:ascii="Verdana" w:hAnsi="Verdana" w:cs="Tahoma"/>
          <w:color w:val="000000"/>
          <w:sz w:val="21"/>
          <w:szCs w:val="21"/>
        </w:rPr>
        <w:t>and you tell them you were on a work-related journey, they will</w:t>
      </w:r>
      <w:r w:rsidRPr="000C5DAE">
        <w:rPr>
          <w:rFonts w:ascii="Verdana" w:hAnsi="Verdana" w:cs="Tahoma"/>
          <w:color w:val="000000"/>
          <w:sz w:val="21"/>
          <w:szCs w:val="21"/>
        </w:rPr>
        <w:t xml:space="preserve"> check </w:t>
      </w:r>
      <w:r w:rsidR="00537716">
        <w:rPr>
          <w:rFonts w:ascii="Verdana" w:hAnsi="Verdana" w:cs="Tahoma"/>
          <w:color w:val="000000"/>
          <w:sz w:val="21"/>
          <w:szCs w:val="21"/>
        </w:rPr>
        <w:t>your</w:t>
      </w:r>
      <w:r w:rsidR="00537716" w:rsidRPr="000C5DAE">
        <w:rPr>
          <w:rFonts w:ascii="Verdana" w:hAnsi="Verdana" w:cs="Tahoma"/>
          <w:color w:val="000000"/>
          <w:sz w:val="21"/>
          <w:szCs w:val="21"/>
        </w:rPr>
        <w:t xml:space="preserve"> </w:t>
      </w:r>
      <w:r w:rsidRPr="000C5DAE">
        <w:rPr>
          <w:rFonts w:ascii="Verdana" w:hAnsi="Verdana" w:cs="Tahoma"/>
          <w:color w:val="000000"/>
          <w:sz w:val="21"/>
          <w:szCs w:val="21"/>
        </w:rPr>
        <w:t>insurance</w:t>
      </w:r>
      <w:r w:rsidR="00537716">
        <w:rPr>
          <w:rFonts w:ascii="Verdana" w:hAnsi="Verdana" w:cs="Tahoma"/>
          <w:color w:val="000000"/>
          <w:sz w:val="21"/>
          <w:szCs w:val="21"/>
        </w:rPr>
        <w:t>.  If they</w:t>
      </w:r>
      <w:r w:rsidRPr="000C5DAE">
        <w:rPr>
          <w:rFonts w:ascii="Verdana" w:hAnsi="Verdana" w:cs="Tahoma"/>
          <w:color w:val="000000"/>
          <w:sz w:val="21"/>
          <w:szCs w:val="21"/>
        </w:rPr>
        <w:t xml:space="preserve"> find it didn't have the "use for business" policy extension, </w:t>
      </w:r>
      <w:r w:rsidR="00537716">
        <w:rPr>
          <w:rFonts w:ascii="Verdana" w:hAnsi="Verdana" w:cs="Tahoma"/>
          <w:color w:val="000000"/>
          <w:sz w:val="21"/>
          <w:szCs w:val="21"/>
        </w:rPr>
        <w:t>that w</w:t>
      </w:r>
      <w:r w:rsidRPr="000C5DAE">
        <w:rPr>
          <w:rFonts w:ascii="Verdana" w:hAnsi="Verdana" w:cs="Tahoma"/>
          <w:color w:val="000000"/>
          <w:sz w:val="21"/>
          <w:szCs w:val="21"/>
        </w:rPr>
        <w:t>ould lead to further action against the driver for not being correctly insured</w:t>
      </w:r>
      <w:r w:rsidR="00537716" w:rsidRPr="000C5DAE">
        <w:rPr>
          <w:rFonts w:ascii="Verdana" w:hAnsi="Verdana" w:cs="Tahoma"/>
          <w:color w:val="000000"/>
          <w:sz w:val="21"/>
          <w:szCs w:val="21"/>
        </w:rPr>
        <w:t>.</w:t>
      </w:r>
      <w:r w:rsidR="00537716">
        <w:rPr>
          <w:rFonts w:ascii="Verdana" w:hAnsi="Verdana" w:cs="Tahoma"/>
          <w:color w:val="000000"/>
          <w:sz w:val="21"/>
          <w:szCs w:val="21"/>
        </w:rPr>
        <w:t xml:space="preserve"> They have the power to seize your car if it is uninsured.</w:t>
      </w:r>
      <w:r w:rsidR="00537716" w:rsidRPr="000C5DAE">
        <w:rPr>
          <w:rFonts w:ascii="Verdana" w:hAnsi="Verdana" w:cs="Tahoma"/>
          <w:color w:val="000000"/>
          <w:sz w:val="21"/>
          <w:szCs w:val="21"/>
        </w:rPr>
        <w:t xml:space="preserve"> </w:t>
      </w:r>
      <w:r w:rsidRPr="000C5DAE">
        <w:rPr>
          <w:rFonts w:ascii="Verdana" w:hAnsi="Verdana" w:cs="Tahoma"/>
          <w:color w:val="000000"/>
          <w:sz w:val="21"/>
          <w:szCs w:val="21"/>
        </w:rPr>
        <w:t xml:space="preserve">Go Compare estimated that </w:t>
      </w:r>
      <w:r w:rsidR="00537716">
        <w:rPr>
          <w:rFonts w:ascii="Verdana" w:hAnsi="Verdana" w:cs="Tahoma"/>
          <w:color w:val="000000"/>
          <w:sz w:val="21"/>
          <w:szCs w:val="21"/>
        </w:rPr>
        <w:t>some</w:t>
      </w:r>
      <w:r w:rsidR="00537716" w:rsidRPr="000C5DAE">
        <w:rPr>
          <w:rFonts w:ascii="Verdana" w:hAnsi="Verdana" w:cs="Tahoma"/>
          <w:color w:val="000000"/>
          <w:sz w:val="21"/>
          <w:szCs w:val="21"/>
        </w:rPr>
        <w:t xml:space="preserve"> </w:t>
      </w:r>
      <w:r w:rsidRPr="000C5DAE">
        <w:rPr>
          <w:rFonts w:ascii="Verdana" w:hAnsi="Verdana" w:cs="Tahoma"/>
          <w:color w:val="000000"/>
          <w:sz w:val="21"/>
          <w:szCs w:val="21"/>
        </w:rPr>
        <w:t>drivers cover more than 2,250 uninsured miles a year on average.</w:t>
      </w:r>
    </w:p>
    <w:p w:rsidR="00537716" w:rsidRPr="000C5DAE" w:rsidRDefault="00537716" w:rsidP="000C5DAE">
      <w:pPr>
        <w:rPr>
          <w:rFonts w:ascii="Verdana" w:hAnsi="Verdana"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r w:rsidRPr="000C5DAE">
        <w:rPr>
          <w:sz w:val="21"/>
          <w:szCs w:val="21"/>
        </w:rPr>
        <w:t xml:space="preserve">Anyone who uses their own vehicle for work-related purposes should ensure they have an extension to their normal insurance policy that covers use for work – for their own protection as much as anything else. It shouldn’t cost a lot; some insurers just include the cover without any additional premium, but some do make a small charge. </w:t>
      </w:r>
      <w:r w:rsidRPr="000C5DAE">
        <w:rPr>
          <w:rFonts w:cs="Tahoma"/>
          <w:color w:val="000000"/>
          <w:sz w:val="21"/>
          <w:szCs w:val="21"/>
        </w:rPr>
        <w:t>UCU cannot emphasise too much how important it is that drivers are correctly insured - the financial costs to individuals and society of uninsured drivers is huge - the human cost can be even greater.</w:t>
      </w:r>
    </w:p>
    <w:p w:rsidR="000C5DAE" w:rsidRPr="000C5DAE" w:rsidRDefault="000C5DAE" w:rsidP="000C5DAE">
      <w:pPr>
        <w:pStyle w:val="NormalWeb"/>
        <w:spacing w:before="0" w:beforeAutospacing="0" w:after="0" w:afterAutospacing="0"/>
        <w:rPr>
          <w:rFonts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Some employers now link the payment of mileage expenses to proof that the necessary cover extension is in place. That way, they ensure they have complied with the advice in the joint HSE/Department of Transport guidance leaflet "Driving at Work: managing work-related road safety” to ensure that employees who use their own vehicles for work purposes are correctly insured. Download at</w:t>
      </w:r>
    </w:p>
    <w:p w:rsidR="000C5DAE" w:rsidRDefault="000C5DAE" w:rsidP="000C5DAE">
      <w:pPr>
        <w:pStyle w:val="NormalWeb"/>
        <w:spacing w:before="0" w:beforeAutospacing="0" w:after="0" w:afterAutospacing="0"/>
        <w:rPr>
          <w:rFonts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hyperlink r:id="rId6" w:history="1">
        <w:r w:rsidRPr="000C5DAE">
          <w:rPr>
            <w:rStyle w:val="Hyperlink"/>
            <w:rFonts w:cs="Tahoma"/>
            <w:b/>
            <w:color w:val="FF1F8F"/>
            <w:sz w:val="21"/>
            <w:szCs w:val="21"/>
          </w:rPr>
          <w:t>http://ww</w:t>
        </w:r>
        <w:r w:rsidRPr="000C5DAE">
          <w:rPr>
            <w:rStyle w:val="Hyperlink"/>
            <w:rFonts w:cs="Tahoma"/>
            <w:b/>
            <w:color w:val="FF1F8F"/>
            <w:sz w:val="21"/>
            <w:szCs w:val="21"/>
          </w:rPr>
          <w:t>w</w:t>
        </w:r>
        <w:r w:rsidRPr="000C5DAE">
          <w:rPr>
            <w:rStyle w:val="Hyperlink"/>
            <w:rFonts w:cs="Tahoma"/>
            <w:b/>
            <w:color w:val="FF1F8F"/>
            <w:sz w:val="21"/>
            <w:szCs w:val="21"/>
          </w:rPr>
          <w:t>.hse.gov.uk/pubns/indg382.pdf</w:t>
        </w:r>
      </w:hyperlink>
      <w:r w:rsidRPr="000C5DAE">
        <w:rPr>
          <w:rFonts w:cs="Tahoma"/>
          <w:color w:val="000000"/>
          <w:sz w:val="21"/>
          <w:szCs w:val="21"/>
        </w:rPr>
        <w:t xml:space="preserve"> </w:t>
      </w:r>
    </w:p>
    <w:p w:rsidR="000C5DAE" w:rsidRPr="000C5DAE" w:rsidRDefault="000C5DAE" w:rsidP="000C5DAE">
      <w:pPr>
        <w:pStyle w:val="NormalWeb"/>
        <w:spacing w:before="0" w:beforeAutospacing="0" w:after="0" w:afterAutospacing="0"/>
        <w:rPr>
          <w:rFonts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The guidance says that employers should have a clear policy on work-related vehicle use, and that risk assessments are conducted and regularly reviewed. Many employers now provide advanced or further driver training for people who are required to drive at work.</w:t>
      </w:r>
    </w:p>
    <w:p w:rsidR="000C5DAE" w:rsidRPr="000C5DAE" w:rsidRDefault="000C5DAE" w:rsidP="000C5DAE">
      <w:pPr>
        <w:pStyle w:val="NormalWeb"/>
        <w:spacing w:before="0" w:beforeAutospacing="0" w:after="0" w:afterAutospacing="0"/>
        <w:rPr>
          <w:rFonts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 xml:space="preserve">UCU recommends some basic standards for using personal transport for college business.  </w:t>
      </w:r>
    </w:p>
    <w:p w:rsidR="000C5DAE" w:rsidRPr="000C5DAE" w:rsidRDefault="000C5DAE" w:rsidP="000C5DAE">
      <w:pPr>
        <w:pStyle w:val="NormalWeb"/>
        <w:spacing w:before="0" w:beforeAutospacing="0" w:after="0" w:afterAutospacing="0"/>
        <w:rPr>
          <w:rFonts w:cs="Tahoma"/>
          <w:color w:val="000000"/>
          <w:sz w:val="21"/>
          <w:szCs w:val="21"/>
        </w:rPr>
      </w:pPr>
    </w:p>
    <w:p w:rsidR="000C5DAE" w:rsidRPr="000C5DAE" w:rsidRDefault="000C5DAE" w:rsidP="000C5DAE">
      <w:pPr>
        <w:pStyle w:val="NormalWeb"/>
        <w:numPr>
          <w:ilvl w:val="0"/>
          <w:numId w:val="17"/>
        </w:numPr>
        <w:spacing w:before="0" w:beforeAutospacing="0" w:after="0" w:afterAutospacing="0"/>
        <w:rPr>
          <w:rFonts w:cs="Tahoma"/>
          <w:color w:val="000000"/>
          <w:sz w:val="21"/>
          <w:szCs w:val="21"/>
        </w:rPr>
      </w:pPr>
      <w:r w:rsidRPr="000C5DAE">
        <w:rPr>
          <w:rFonts w:cs="Tahoma"/>
          <w:color w:val="000000"/>
          <w:sz w:val="21"/>
          <w:szCs w:val="21"/>
        </w:rPr>
        <w:t xml:space="preserve">there should be adequate and realistic time allowances for the journey so as not to encourage speeding or risk taking; </w:t>
      </w:r>
    </w:p>
    <w:p w:rsidR="000C5DAE" w:rsidRPr="000C5DAE" w:rsidRDefault="000C5DAE" w:rsidP="000C5DAE">
      <w:pPr>
        <w:pStyle w:val="NormalWeb"/>
        <w:numPr>
          <w:ilvl w:val="0"/>
          <w:numId w:val="17"/>
        </w:numPr>
        <w:spacing w:before="0" w:beforeAutospacing="0" w:after="0" w:afterAutospacing="0"/>
        <w:rPr>
          <w:rFonts w:cs="Tahoma"/>
          <w:color w:val="000000"/>
          <w:sz w:val="21"/>
          <w:szCs w:val="21"/>
        </w:rPr>
      </w:pPr>
      <w:r w:rsidRPr="000C5DAE">
        <w:rPr>
          <w:rFonts w:cs="Tahoma"/>
          <w:color w:val="000000"/>
          <w:sz w:val="21"/>
          <w:szCs w:val="21"/>
        </w:rPr>
        <w:t xml:space="preserve">class contact timetabling should ensure that travel doesn't take place during a lunch break so people aren’t tempted to eat and drink while driving; </w:t>
      </w:r>
    </w:p>
    <w:p w:rsidR="000C5DAE" w:rsidRPr="000C5DAE" w:rsidRDefault="000C5DAE" w:rsidP="000C5DAE">
      <w:pPr>
        <w:pStyle w:val="NormalWeb"/>
        <w:numPr>
          <w:ilvl w:val="0"/>
          <w:numId w:val="17"/>
        </w:numPr>
        <w:spacing w:before="0" w:beforeAutospacing="0" w:after="0" w:afterAutospacing="0"/>
        <w:rPr>
          <w:rFonts w:cs="Tahoma"/>
          <w:color w:val="000000"/>
          <w:sz w:val="21"/>
          <w:szCs w:val="21"/>
        </w:rPr>
      </w:pPr>
      <w:r w:rsidRPr="000C5DAE">
        <w:rPr>
          <w:rFonts w:cs="Tahoma"/>
          <w:color w:val="000000"/>
          <w:sz w:val="21"/>
          <w:szCs w:val="21"/>
        </w:rPr>
        <w:t xml:space="preserve">management requirement for staff to travel should be limited as far as possible, perhaps to a specific number of occasions a week and not be the norm, and </w:t>
      </w:r>
    </w:p>
    <w:p w:rsidR="000C5DAE" w:rsidRDefault="000C5DAE" w:rsidP="000C5DAE">
      <w:pPr>
        <w:pStyle w:val="NormalWeb"/>
        <w:numPr>
          <w:ilvl w:val="0"/>
          <w:numId w:val="17"/>
        </w:numPr>
        <w:spacing w:before="0" w:beforeAutospacing="0" w:after="0" w:afterAutospacing="0"/>
        <w:rPr>
          <w:rFonts w:cs="Tahoma"/>
          <w:color w:val="000000"/>
          <w:sz w:val="21"/>
          <w:szCs w:val="21"/>
        </w:rPr>
      </w:pPr>
      <w:r w:rsidRPr="000C5DAE">
        <w:rPr>
          <w:rFonts w:cs="Tahoma"/>
          <w:color w:val="000000"/>
          <w:sz w:val="21"/>
          <w:szCs w:val="21"/>
        </w:rPr>
        <w:lastRenderedPageBreak/>
        <w:t>There should be a limit on the number of journeys on any one day – one is good.</w:t>
      </w:r>
    </w:p>
    <w:p w:rsidR="000C5DAE" w:rsidRPr="000C5DAE" w:rsidRDefault="000C5DAE" w:rsidP="000C5DAE">
      <w:pPr>
        <w:pStyle w:val="NormalWeb"/>
        <w:spacing w:before="0" w:beforeAutospacing="0" w:after="0" w:afterAutospacing="0"/>
        <w:ind w:left="720"/>
        <w:rPr>
          <w:rFonts w:cs="Tahoma"/>
          <w:color w:val="000000"/>
          <w:sz w:val="21"/>
          <w:szCs w:val="21"/>
        </w:rPr>
      </w:pP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 xml:space="preserve">This is an ideal topic for a negotiated agreement. Amounts payable for tax-free travel expenses are covered by HMRC (Inland Revenue) rules; the current (April 2011) figure is 40 pence per mile and they require claims to include a record of the mileage being claimed. See </w:t>
      </w:r>
      <w:hyperlink r:id="rId7" w:history="1">
        <w:r w:rsidRPr="000C5DAE">
          <w:rPr>
            <w:rStyle w:val="Hyperlink"/>
            <w:rFonts w:cs="Tahoma"/>
            <w:b/>
            <w:color w:val="FF1F8F"/>
            <w:sz w:val="21"/>
            <w:szCs w:val="21"/>
          </w:rPr>
          <w:t>http://www.hmrc.gov.uk/mileage/employee-factsheet.pdf</w:t>
        </w:r>
      </w:hyperlink>
      <w:r w:rsidRPr="000C5DAE">
        <w:rPr>
          <w:rFonts w:cs="Tahoma"/>
          <w:color w:val="000000"/>
          <w:sz w:val="21"/>
          <w:szCs w:val="21"/>
        </w:rPr>
        <w:t xml:space="preserve"> </w:t>
      </w:r>
    </w:p>
    <w:p w:rsidR="000C5DAE" w:rsidRDefault="000C5DAE" w:rsidP="000C5DAE">
      <w:pPr>
        <w:pStyle w:val="NormalWeb"/>
        <w:spacing w:before="0" w:beforeAutospacing="0" w:after="0" w:afterAutospacing="0"/>
        <w:rPr>
          <w:rFonts w:cs="Tahoma"/>
          <w:color w:val="000000"/>
          <w:sz w:val="21"/>
          <w:szCs w:val="21"/>
        </w:rPr>
      </w:pPr>
      <w:r w:rsidRPr="000C5DAE">
        <w:rPr>
          <w:rFonts w:cs="Tahoma"/>
          <w:color w:val="000000"/>
          <w:sz w:val="21"/>
          <w:szCs w:val="21"/>
        </w:rPr>
        <w:t>for more information.</w:t>
      </w:r>
    </w:p>
    <w:p w:rsidR="000C5DAE" w:rsidRPr="000C5DAE" w:rsidRDefault="000C5DAE" w:rsidP="000C5DAE">
      <w:pPr>
        <w:pStyle w:val="NormalWeb"/>
        <w:spacing w:before="0" w:beforeAutospacing="0" w:after="0" w:afterAutospacing="0"/>
        <w:rPr>
          <w:rFonts w:cs="Tahoma"/>
          <w:color w:val="000000"/>
          <w:sz w:val="21"/>
          <w:szCs w:val="21"/>
        </w:rPr>
      </w:pPr>
    </w:p>
    <w:p w:rsidR="003442F8" w:rsidRPr="000C5DAE" w:rsidRDefault="000C5DAE" w:rsidP="000C5DAE">
      <w:pPr>
        <w:pStyle w:val="Heading2"/>
        <w:spacing w:before="0" w:after="0"/>
        <w:rPr>
          <w:b w:val="0"/>
          <w:i w:val="0"/>
          <w:sz w:val="21"/>
          <w:szCs w:val="21"/>
        </w:rPr>
      </w:pPr>
      <w:r w:rsidRPr="000C5DAE">
        <w:rPr>
          <w:rFonts w:ascii="Verdana" w:hAnsi="Verdana"/>
          <w:sz w:val="21"/>
          <w:szCs w:val="21"/>
        </w:rPr>
        <w:t xml:space="preserve">See also </w:t>
      </w:r>
      <w:hyperlink r:id="rId8" w:history="1">
        <w:r w:rsidRPr="000C5DAE">
          <w:rPr>
            <w:rStyle w:val="Hyperlink"/>
            <w:rFonts w:ascii="Verdana" w:hAnsi="Verdana"/>
            <w:color w:val="FF1F8F"/>
            <w:sz w:val="21"/>
            <w:szCs w:val="21"/>
          </w:rPr>
          <w:t>http://www.drivingergonom</w:t>
        </w:r>
        <w:r w:rsidRPr="000C5DAE">
          <w:rPr>
            <w:rStyle w:val="Hyperlink"/>
            <w:rFonts w:ascii="Verdana" w:hAnsi="Verdana"/>
            <w:color w:val="FF1F8F"/>
            <w:sz w:val="21"/>
            <w:szCs w:val="21"/>
          </w:rPr>
          <w:t>i</w:t>
        </w:r>
        <w:r w:rsidRPr="000C5DAE">
          <w:rPr>
            <w:rStyle w:val="Hyperlink"/>
            <w:rFonts w:ascii="Verdana" w:hAnsi="Verdana"/>
            <w:color w:val="FF1F8F"/>
            <w:sz w:val="21"/>
            <w:szCs w:val="21"/>
          </w:rPr>
          <w:t>cs.com/</w:t>
        </w:r>
      </w:hyperlink>
      <w:r w:rsidRPr="000C5DAE">
        <w:rPr>
          <w:rFonts w:ascii="Verdana" w:hAnsi="Verdana"/>
          <w:sz w:val="21"/>
          <w:szCs w:val="21"/>
        </w:rPr>
        <w:t xml:space="preserve"> for information from colleagues at </w:t>
      </w:r>
      <w:smartTag w:uri="urn:schemas-microsoft-com:office:smarttags" w:element="place">
        <w:smartTag w:uri="urn:schemas-microsoft-com:office:smarttags" w:element="PlaceName">
          <w:r w:rsidRPr="000C5DAE">
            <w:rPr>
              <w:rFonts w:ascii="Verdana" w:hAnsi="Verdana"/>
              <w:sz w:val="21"/>
              <w:szCs w:val="21"/>
            </w:rPr>
            <w:t>Loughborough</w:t>
          </w:r>
        </w:smartTag>
        <w:r w:rsidRPr="000C5DAE">
          <w:rPr>
            <w:rFonts w:ascii="Verdana" w:hAnsi="Verdana"/>
            <w:sz w:val="21"/>
            <w:szCs w:val="21"/>
          </w:rPr>
          <w:t xml:space="preserve"> </w:t>
        </w:r>
        <w:smartTag w:uri="urn:schemas-microsoft-com:office:smarttags" w:element="PlaceType">
          <w:r w:rsidRPr="000C5DAE">
            <w:rPr>
              <w:rFonts w:ascii="Verdana" w:hAnsi="Verdana"/>
              <w:sz w:val="21"/>
              <w:szCs w:val="21"/>
            </w:rPr>
            <w:t>University</w:t>
          </w:r>
        </w:smartTag>
      </w:smartTag>
      <w:r w:rsidRPr="000C5DAE">
        <w:rPr>
          <w:rFonts w:ascii="Verdana" w:hAnsi="Verdana"/>
          <w:sz w:val="21"/>
          <w:szCs w:val="21"/>
        </w:rPr>
        <w:t xml:space="preserve"> on driving employer-owned vehicles</w:t>
      </w:r>
    </w:p>
    <w:sectPr w:rsidR="003442F8" w:rsidRPr="000C5DAE">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7726A"/>
    <w:multiLevelType w:val="hybridMultilevel"/>
    <w:tmpl w:val="511648E6"/>
    <w:lvl w:ilvl="0">
      <w:start w:val="1"/>
      <w:numFmt w:val="bullet"/>
      <w:lvlText w:val=""/>
      <w:lvlJc w:val="left"/>
      <w:pPr>
        <w:tabs>
          <w:tab w:val="num" w:pos="340"/>
        </w:tabs>
        <w:ind w:left="340"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07F3A51"/>
    <w:multiLevelType w:val="hybridMultilevel"/>
    <w:tmpl w:val="C77EE214"/>
    <w:lvl w:ilvl="0">
      <w:numFmt w:val="bullet"/>
      <w:lvlText w:val=""/>
      <w:lvlJc w:val="left"/>
      <w:pPr>
        <w:tabs>
          <w:tab w:val="num" w:pos="723"/>
        </w:tabs>
        <w:ind w:left="723" w:hanging="360"/>
      </w:pPr>
      <w:rPr>
        <w:rFonts w:ascii="Symbol" w:eastAsia="Times New Roman" w:hAnsi="Symbol" w:cs="Arial" w:hint="default"/>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3">
    <w:nsid w:val="03B56108"/>
    <w:multiLevelType w:val="hybridMultilevel"/>
    <w:tmpl w:val="93000624"/>
    <w:lvl w:ilvl="0">
      <w:start w:val="1"/>
      <w:numFmt w:val="bullet"/>
      <w:lvlText w:val=""/>
      <w:legacy w:legacy="1" w:legacySpace="0" w:legacyIndent="283"/>
      <w:lvlJc w:val="left"/>
      <w:pPr>
        <w:ind w:left="643"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57A5758"/>
    <w:multiLevelType w:val="multilevel"/>
    <w:tmpl w:val="6C845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391E72"/>
    <w:multiLevelType w:val="multilevel"/>
    <w:tmpl w:val="7F14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329AC"/>
    <w:multiLevelType w:val="hybridMultilevel"/>
    <w:tmpl w:val="9E3269DE"/>
    <w:lvl w:ilvl="0">
      <w:start w:val="1"/>
      <w:numFmt w:val="bullet"/>
      <w:lvlText w:val=""/>
      <w:lvlJc w:val="left"/>
      <w:pPr>
        <w:tabs>
          <w:tab w:val="num" w:pos="720"/>
        </w:tabs>
        <w:ind w:left="720" w:hanging="360"/>
      </w:pPr>
      <w:rPr>
        <w:rFonts w:ascii="Wingdings" w:hAnsi="Wingdings" w:hint="default"/>
        <w:b/>
        <w:i w:val="0"/>
        <w:color w:val="330066"/>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4F50136"/>
    <w:multiLevelType w:val="hybridMultilevel"/>
    <w:tmpl w:val="4C280F4C"/>
    <w:lvl w:ilvl="0">
      <w:start w:val="1"/>
      <w:numFmt w:val="bullet"/>
      <w:lvlText w:val=""/>
      <w:lvlJc w:val="left"/>
      <w:pPr>
        <w:tabs>
          <w:tab w:val="num" w:pos="1080"/>
        </w:tabs>
        <w:ind w:left="1080" w:hanging="360"/>
      </w:pPr>
      <w:rPr>
        <w:rFonts w:ascii="Wingdings" w:hAnsi="Wingdings" w:hint="default"/>
        <w:b/>
        <w:i w:val="0"/>
        <w:color w:val="330066"/>
        <w:sz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BD843DE"/>
    <w:multiLevelType w:val="hybridMultilevel"/>
    <w:tmpl w:val="A6D48B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2743D7"/>
    <w:multiLevelType w:val="hybridMultilevel"/>
    <w:tmpl w:val="7EB2ED88"/>
    <w:lvl w:ilvl="0">
      <w:start w:val="1"/>
      <w:numFmt w:val="bullet"/>
      <w:lvlText w:val=""/>
      <w:lvlJc w:val="left"/>
      <w:pPr>
        <w:tabs>
          <w:tab w:val="num" w:pos="340"/>
        </w:tabs>
        <w:ind w:left="340"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A4A5B72"/>
    <w:multiLevelType w:val="multilevel"/>
    <w:tmpl w:val="93000624"/>
    <w:lvl w:ilvl="0">
      <w:start w:val="1"/>
      <w:numFmt w:val="bullet"/>
      <w:lvlText w:val=""/>
      <w:legacy w:legacy="1" w:legacySpace="0" w:legacyIndent="283"/>
      <w:lvlJc w:val="left"/>
      <w:pPr>
        <w:ind w:left="64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656D5B"/>
    <w:multiLevelType w:val="hybridMultilevel"/>
    <w:tmpl w:val="303CCF10"/>
    <w:lvl w:ilvl="0">
      <w:start w:val="1"/>
      <w:numFmt w:val="bullet"/>
      <w:pStyle w:val="ListBulletspaced"/>
      <w:lvlText w:val=""/>
      <w:lvlJc w:val="left"/>
      <w:pPr>
        <w:tabs>
          <w:tab w:val="num" w:pos="2061"/>
        </w:tabs>
        <w:ind w:left="2041" w:hanging="340"/>
      </w:pPr>
      <w:rPr>
        <w:rFonts w:ascii="Wingdings" w:hAnsi="Wingdings" w:hint="default"/>
      </w:rPr>
    </w:lvl>
    <w:lvl w:ilvl="1">
      <w:start w:val="1"/>
      <w:numFmt w:val="bullet"/>
      <w:lvlText w:val="­"/>
      <w:lvlJc w:val="left"/>
      <w:pPr>
        <w:tabs>
          <w:tab w:val="num" w:pos="1440"/>
        </w:tabs>
        <w:ind w:left="1440" w:hanging="360"/>
      </w:pPr>
      <w:rPr>
        <w:rFonts w:ascii="Lucida Sans" w:hAnsi="Lucida San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F256521"/>
    <w:multiLevelType w:val="hybridMultilevel"/>
    <w:tmpl w:val="BF32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AB43F7"/>
    <w:multiLevelType w:val="hybridMultilevel"/>
    <w:tmpl w:val="333E6336"/>
    <w:lvl w:ilvl="0">
      <w:start w:val="1"/>
      <w:numFmt w:val="bullet"/>
      <w:pStyle w:val="ListBullet"/>
      <w:lvlText w:val=""/>
      <w:lvlJc w:val="left"/>
      <w:pPr>
        <w:tabs>
          <w:tab w:val="num" w:pos="2061"/>
        </w:tabs>
        <w:ind w:left="2041" w:hanging="34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4">
    <w:nsid w:val="72587917"/>
    <w:multiLevelType w:val="multilevel"/>
    <w:tmpl w:val="6C8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F5FC0"/>
    <w:multiLevelType w:val="hybridMultilevel"/>
    <w:tmpl w:val="393AF2E0"/>
    <w:lvl w:ilvl="0">
      <w:start w:val="1"/>
      <w:numFmt w:val="bullet"/>
      <w:lvlText w:val=""/>
      <w:legacy w:legacy="1" w:legacySpace="0" w:legacyIndent="283"/>
      <w:lvlJc w:val="left"/>
      <w:pPr>
        <w:ind w:left="1006" w:hanging="283"/>
      </w:pPr>
      <w:rPr>
        <w:rFonts w:ascii="Symbol" w:hAnsi="Symbol" w:hint="default"/>
      </w:rPr>
    </w:lvl>
    <w:lvl w:ilvl="1" w:tentative="1">
      <w:start w:val="1"/>
      <w:numFmt w:val="bullet"/>
      <w:lvlText w:val="o"/>
      <w:lvlJc w:val="left"/>
      <w:pPr>
        <w:tabs>
          <w:tab w:val="num" w:pos="1803"/>
        </w:tabs>
        <w:ind w:left="1803" w:hanging="360"/>
      </w:pPr>
      <w:rPr>
        <w:rFonts w:ascii="Courier New" w:hAnsi="Courier New" w:cs="Courier New" w:hint="default"/>
      </w:rPr>
    </w:lvl>
    <w:lvl w:ilvl="2" w:tentative="1">
      <w:start w:val="1"/>
      <w:numFmt w:val="bullet"/>
      <w:lvlText w:val=""/>
      <w:lvlJc w:val="left"/>
      <w:pPr>
        <w:tabs>
          <w:tab w:val="num" w:pos="2523"/>
        </w:tabs>
        <w:ind w:left="2523" w:hanging="360"/>
      </w:pPr>
      <w:rPr>
        <w:rFonts w:ascii="Wingdings" w:hAnsi="Wingdings" w:hint="default"/>
      </w:rPr>
    </w:lvl>
    <w:lvl w:ilvl="3" w:tentative="1">
      <w:start w:val="1"/>
      <w:numFmt w:val="bullet"/>
      <w:lvlText w:val=""/>
      <w:lvlJc w:val="left"/>
      <w:pPr>
        <w:tabs>
          <w:tab w:val="num" w:pos="3243"/>
        </w:tabs>
        <w:ind w:left="3243" w:hanging="360"/>
      </w:pPr>
      <w:rPr>
        <w:rFonts w:ascii="Symbol" w:hAnsi="Symbol" w:hint="default"/>
      </w:rPr>
    </w:lvl>
    <w:lvl w:ilvl="4" w:tentative="1">
      <w:start w:val="1"/>
      <w:numFmt w:val="bullet"/>
      <w:lvlText w:val="o"/>
      <w:lvlJc w:val="left"/>
      <w:pPr>
        <w:tabs>
          <w:tab w:val="num" w:pos="3963"/>
        </w:tabs>
        <w:ind w:left="3963" w:hanging="360"/>
      </w:pPr>
      <w:rPr>
        <w:rFonts w:ascii="Courier New" w:hAnsi="Courier New" w:cs="Courier New" w:hint="default"/>
      </w:rPr>
    </w:lvl>
    <w:lvl w:ilvl="5" w:tentative="1">
      <w:start w:val="1"/>
      <w:numFmt w:val="bullet"/>
      <w:lvlText w:val=""/>
      <w:lvlJc w:val="left"/>
      <w:pPr>
        <w:tabs>
          <w:tab w:val="num" w:pos="4683"/>
        </w:tabs>
        <w:ind w:left="4683" w:hanging="360"/>
      </w:pPr>
      <w:rPr>
        <w:rFonts w:ascii="Wingdings" w:hAnsi="Wingdings" w:hint="default"/>
      </w:rPr>
    </w:lvl>
    <w:lvl w:ilvl="6" w:tentative="1">
      <w:start w:val="1"/>
      <w:numFmt w:val="bullet"/>
      <w:lvlText w:val=""/>
      <w:lvlJc w:val="left"/>
      <w:pPr>
        <w:tabs>
          <w:tab w:val="num" w:pos="5403"/>
        </w:tabs>
        <w:ind w:left="5403" w:hanging="360"/>
      </w:pPr>
      <w:rPr>
        <w:rFonts w:ascii="Symbol" w:hAnsi="Symbol" w:hint="default"/>
      </w:rPr>
    </w:lvl>
    <w:lvl w:ilvl="7" w:tentative="1">
      <w:start w:val="1"/>
      <w:numFmt w:val="bullet"/>
      <w:lvlText w:val="o"/>
      <w:lvlJc w:val="left"/>
      <w:pPr>
        <w:tabs>
          <w:tab w:val="num" w:pos="6123"/>
        </w:tabs>
        <w:ind w:left="6123" w:hanging="360"/>
      </w:pPr>
      <w:rPr>
        <w:rFonts w:ascii="Courier New" w:hAnsi="Courier New" w:cs="Courier New" w:hint="default"/>
      </w:rPr>
    </w:lvl>
    <w:lvl w:ilvl="8" w:tentative="1">
      <w:start w:val="1"/>
      <w:numFmt w:val="bullet"/>
      <w:lvlText w:val=""/>
      <w:lvlJc w:val="left"/>
      <w:pPr>
        <w:tabs>
          <w:tab w:val="num" w:pos="6843"/>
        </w:tabs>
        <w:ind w:left="6843" w:hanging="360"/>
      </w:pPr>
      <w:rPr>
        <w:rFonts w:ascii="Wingdings" w:hAnsi="Wingdings" w:hint="default"/>
      </w:rPr>
    </w:lvl>
  </w:abstractNum>
  <w:abstractNum w:abstractNumId="16">
    <w:nsid w:val="7CB633CD"/>
    <w:multiLevelType w:val="hybridMultilevel"/>
    <w:tmpl w:val="91F84776"/>
    <w:lvl w:ilvl="0">
      <w:start w:val="1"/>
      <w:numFmt w:val="bullet"/>
      <w:lvlText w:val=""/>
      <w:lvlJc w:val="left"/>
      <w:pPr>
        <w:tabs>
          <w:tab w:val="num" w:pos="720"/>
        </w:tabs>
        <w:ind w:left="720" w:hanging="360"/>
      </w:pPr>
      <w:rPr>
        <w:rFonts w:ascii="Wingdings" w:hAnsi="Wingdings" w:hint="default"/>
        <w:b/>
        <w:i w:val="0"/>
        <w:color w:val="330066"/>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6">
    <w:abstractNumId w:val="13"/>
  </w:num>
  <w:num w:numId="7">
    <w:abstractNumId w:val="11"/>
  </w:num>
  <w:num w:numId="8">
    <w:abstractNumId w:val="9"/>
  </w:num>
  <w:num w:numId="9">
    <w:abstractNumId w:val="1"/>
  </w:num>
  <w:num w:numId="10">
    <w:abstractNumId w:val="15"/>
  </w:num>
  <w:num w:numId="11">
    <w:abstractNumId w:val="2"/>
  </w:num>
  <w:num w:numId="12">
    <w:abstractNumId w:val="3"/>
  </w:num>
  <w:num w:numId="13">
    <w:abstractNumId w:val="10"/>
  </w:num>
  <w:num w:numId="14">
    <w:abstractNumId w:val="16"/>
  </w:num>
  <w:num w:numId="15">
    <w:abstractNumId w:val="7"/>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displayVerticalDrawingGridEvery w:val="2"/>
  <w:characterSpacingControl w:val="doNotCompress"/>
  <w:compat/>
  <w:rsids>
    <w:rsidRoot w:val="00FE51EB"/>
    <w:rsid w:val="000C5DAE"/>
    <w:rsid w:val="003442F8"/>
    <w:rsid w:val="00537716"/>
    <w:rsid w:val="00C96E91"/>
    <w:rsid w:val="00D7356C"/>
    <w:rsid w:val="00DB1F0D"/>
    <w:rsid w:val="00F35F23"/>
    <w:rsid w:val="00FE5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pPr>
      <w:keepNext/>
      <w:spacing w:before="120" w:after="100" w:afterAutospacing="1" w:line="264" w:lineRule="auto"/>
      <w:outlineLvl w:val="0"/>
    </w:pPr>
    <w:rPr>
      <w:rFonts w:ascii="Verdana" w:hAnsi="Verdana"/>
      <w:b/>
      <w:bCs/>
      <w:color w:val="3D007A"/>
      <w:sz w:val="3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pPr>
      <w:spacing w:before="100" w:beforeAutospacing="1" w:after="100" w:afterAutospacing="1"/>
    </w:pPr>
    <w:rPr>
      <w:rFonts w:ascii="Verdana" w:hAnsi="Verdana"/>
    </w:rPr>
  </w:style>
  <w:style w:type="paragraph" w:styleId="BodyText">
    <w:name w:val="Body Text"/>
    <w:basedOn w:val="Normal"/>
    <w:semiHidden/>
    <w:pPr>
      <w:overflowPunct w:val="0"/>
      <w:autoSpaceDE w:val="0"/>
      <w:autoSpaceDN w:val="0"/>
      <w:adjustRightInd w:val="0"/>
      <w:spacing w:after="200" w:line="280" w:lineRule="exact"/>
      <w:ind w:left="851"/>
      <w:textAlignment w:val="baseline"/>
    </w:pPr>
    <w:rPr>
      <w:rFonts w:ascii="Lucida Sans" w:hAnsi="Lucida Sans"/>
      <w:sz w:val="19"/>
      <w:szCs w:val="20"/>
      <w:lang w:eastAsia="en-US"/>
    </w:rPr>
  </w:style>
  <w:style w:type="paragraph" w:styleId="ListBullet">
    <w:name w:val="List Bullet"/>
    <w:basedOn w:val="BodyText"/>
    <w:semiHidden/>
    <w:pPr>
      <w:numPr>
        <w:numId w:val="6"/>
      </w:numPr>
      <w:tabs>
        <w:tab w:val="left" w:pos="360"/>
      </w:tabs>
      <w:spacing w:after="0"/>
    </w:pPr>
  </w:style>
  <w:style w:type="paragraph" w:customStyle="1" w:styleId="ListBulletspaced">
    <w:name w:val="List Bullet spaced"/>
    <w:basedOn w:val="ListBullet"/>
    <w:pPr>
      <w:numPr>
        <w:numId w:val="7"/>
      </w:numPr>
      <w:spacing w:after="200"/>
    </w:pPr>
  </w:style>
  <w:style w:type="paragraph" w:customStyle="1" w:styleId="BodyTextNotSpaced">
    <w:name w:val="Body Text Not Spaced"/>
    <w:basedOn w:val="BodyText"/>
    <w:pPr>
      <w:spacing w:after="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ivingergonomics.com/" TargetMode="External"/><Relationship Id="rId3" Type="http://schemas.openxmlformats.org/officeDocument/2006/relationships/settings" Target="settings.xml"/><Relationship Id="rId7" Type="http://schemas.openxmlformats.org/officeDocument/2006/relationships/hyperlink" Target="http://www.hmrc.gov.uk/mileage/employee-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indg38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4043</CharactersWithSpaces>
  <SharedDoc>false</SharedDoc>
  <HyperlinkBase/>
  <HLinks>
    <vt:vector size="18" baseType="variant">
      <vt:variant>
        <vt:i4>5111833</vt:i4>
      </vt:variant>
      <vt:variant>
        <vt:i4>6</vt:i4>
      </vt:variant>
      <vt:variant>
        <vt:i4>0</vt:i4>
      </vt:variant>
      <vt:variant>
        <vt:i4>5</vt:i4>
      </vt:variant>
      <vt:variant>
        <vt:lpwstr>http://www.drivingergonomics.com/</vt:lpwstr>
      </vt:variant>
      <vt:variant>
        <vt:lpwstr/>
      </vt:variant>
      <vt:variant>
        <vt:i4>5242971</vt:i4>
      </vt:variant>
      <vt:variant>
        <vt:i4>3</vt:i4>
      </vt:variant>
      <vt:variant>
        <vt:i4>0</vt:i4>
      </vt:variant>
      <vt:variant>
        <vt:i4>5</vt:i4>
      </vt:variant>
      <vt:variant>
        <vt:lpwstr>http://www.hmrc.gov.uk/mileage/employee-factsheet.pdf</vt:lpwstr>
      </vt:variant>
      <vt:variant>
        <vt:lpwstr/>
      </vt:variant>
      <vt:variant>
        <vt:i4>2228282</vt:i4>
      </vt:variant>
      <vt:variant>
        <vt:i4>0</vt:i4>
      </vt:variant>
      <vt:variant>
        <vt:i4>0</vt:i4>
      </vt:variant>
      <vt:variant>
        <vt:i4>5</vt:i4>
      </vt:variant>
      <vt:variant>
        <vt:lpwstr>http://www.hse.gov.uk/pubns/indg382.pdf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UCU</dc:creator>
  <cp:lastModifiedBy>jtaylor</cp:lastModifiedBy>
  <cp:revision>2</cp:revision>
  <dcterms:created xsi:type="dcterms:W3CDTF">2012-02-22T15:54:00Z</dcterms:created>
  <dcterms:modified xsi:type="dcterms:W3CDTF">2012-02-22T15:54:00Z</dcterms:modified>
</cp:coreProperties>
</file>