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val="en-US"/>
        </w:rPr>
      </w:pPr>
      <w:r w:rsidRP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  <w:t>Members who are paid at an hourly rat</w:t>
      </w:r>
      <w:r w:rsid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  <w:t xml:space="preserve">e rather than being </w:t>
      </w:r>
      <w:proofErr w:type="spellStart"/>
      <w:r w:rsid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  <w:t>fractionalis</w:t>
      </w:r>
      <w:r w:rsidRP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  <w:t>ed</w:t>
      </w:r>
      <w:proofErr w:type="spellEnd"/>
      <w:r w:rsidRP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  <w:t xml:space="preserve"> to a point on the main scale commensurate with their hours worked are paid less when they are in work and receive mu</w:t>
      </w:r>
      <w:r w:rsid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  <w:t xml:space="preserve">ch, much, less when they retire! 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A816C5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Below is an example of how your pension will be affected by your PTHP contract. </w:t>
      </w:r>
    </w:p>
    <w:p w:rsidR="00A816C5" w:rsidRPr="000072AC" w:rsidRDefault="00A816C5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If a person is employed at 0.6, over a ten year period they will accrue 10 x 0.6 or 6 qualifying years towards their pension.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So let us say the annual salary is £40,000 </w:t>
      </w:r>
      <w:proofErr w:type="spellStart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p.a</w:t>
      </w:r>
      <w:proofErr w:type="spellEnd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and the two members are on the same salary poin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t and progress at the same rate but one is on a fractional contract and the other on a part time hourly paid contract. 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</w:pPr>
      <w:r w:rsidRPr="000072AC"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  <w:t>Worst Case Scenario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The hourly paid member will receive per hour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Annual salary divided by 52 x37 =1924 (52 </w:t>
      </w:r>
      <w:proofErr w:type="spellStart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wks</w:t>
      </w:r>
      <w:proofErr w:type="spellEnd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x 37 hrs per week)</w:t>
      </w:r>
    </w:p>
    <w:p w:rsidR="009F2846" w:rsidRPr="000072AC" w:rsidRDefault="00A816C5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This </w:t>
      </w:r>
      <w:r w:rsidR="009F2846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equates to £20.79 per hour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Plus twenty minutes per hour prep and marking</w:t>
      </w:r>
    </w:p>
    <w:p w:rsidR="00A816C5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This equates to 20.79x1.33 =£27.719 per hour.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Add on holiday pay 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46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+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8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=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54x7.4 =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uplift of 0.198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This equates to £33.2085 per hour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501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x £33.2085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=</w:t>
      </w:r>
      <w:r w:rsidR="00A816C5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£16,637.4636 pa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This equates to 0.4159 of an FT</w:t>
      </w:r>
    </w:p>
    <w:p w:rsidR="009F2846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So over ten years the person will have acquired 4.159 qualifying years </w:t>
      </w:r>
    </w:p>
    <w:p w:rsidR="000072AC" w:rsidRPr="000072AC" w:rsidRDefault="000072AC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0072AC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</w:pPr>
      <w: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**</w:t>
      </w:r>
      <w:r w:rsidR="009F2846" w:rsidRPr="000072AC"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A shortfall of 30.67% co</w:t>
      </w:r>
      <w: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mpared with the 0.6 post holder**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</w:pPr>
      <w:r w:rsidRPr="000072AC"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  <w:t xml:space="preserve">A Less </w:t>
      </w:r>
      <w:proofErr w:type="gramStart"/>
      <w:r w:rsidRPr="000072AC"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  <w:t>Worse</w:t>
      </w:r>
      <w:proofErr w:type="gramEnd"/>
      <w:r w:rsidRPr="000072AC"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  <w:t xml:space="preserve"> </w:t>
      </w:r>
      <w:r w:rsidR="00A816C5" w:rsidRPr="000072AC"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  <w:t xml:space="preserve">Case </w:t>
      </w:r>
      <w:r w:rsidRPr="000072AC"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  <w:t>Scenario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Include the maximum of five closure days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Holiday hours are now 59x7.4 =436.66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An uplift of 0.2269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So pay is now £34.01 per hour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So annual pay is now £17,038.2229 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This is the equivalent of 0.4259 contract.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0072AC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</w:pPr>
      <w: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**</w:t>
      </w:r>
      <w:r w:rsidR="009F2846" w:rsidRPr="000072AC"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Over ten years the pension shortfall would be 29.1%</w:t>
      </w:r>
      <w: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**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</w:pPr>
      <w:r w:rsidRPr="000072AC"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  <w:t>A Slightly Better Scenario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Let us include some departmental hours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Say: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15 hours for CPD;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60 hours for </w:t>
      </w:r>
      <w:proofErr w:type="spellStart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Dept</w:t>
      </w:r>
      <w:proofErr w:type="spellEnd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/Team Meetings;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lastRenderedPageBreak/>
        <w:t>12 hours for Open/Parents’ Eves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And 20 hrs other </w:t>
      </w:r>
      <w:proofErr w:type="spellStart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DEpt</w:t>
      </w:r>
      <w:proofErr w:type="spellEnd"/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duties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The hourly rate and the holiday uplift remain the same but there is no 20 minutes marking and prep time.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So add 107 hours at £20.79 with the 0.2269 holiday uplift = £2729.28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This is pensionable service therefore annual salary is now £ 19,767.50</w:t>
      </w:r>
    </w:p>
    <w:p w:rsidR="009F2846" w:rsidRDefault="00A816C5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This equates to 0.4942 of a</w:t>
      </w:r>
      <w:r w:rsidR="009F2846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F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ull </w:t>
      </w:r>
      <w:r w:rsidR="009F2846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ime</w:t>
      </w:r>
      <w:r w:rsidR="009F2846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contract.</w:t>
      </w:r>
    </w:p>
    <w:p w:rsidR="000072AC" w:rsidRPr="000072AC" w:rsidRDefault="000072AC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0072AC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</w:pPr>
      <w: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**</w:t>
      </w:r>
      <w:r w:rsidR="009F2846" w:rsidRPr="000072AC"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Over a ten year period this would yield 4.942 qualifying years, a shortfall of 17.63%</w:t>
      </w:r>
      <w: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  <w:t>**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Whichever scenario we use there is a shortfall in the pension contributions which means that </w:t>
      </w:r>
      <w:r w:rsidR="007530D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the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the part time worker</w:t>
      </w:r>
      <w:r w:rsid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</w:t>
      </w:r>
      <w:r w:rsidR="007530D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is not treated </w:t>
      </w:r>
      <w:r w:rsid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in the same way as a full time worker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.</w:t>
      </w:r>
    </w:p>
    <w:p w:rsidR="00563672" w:rsidRPr="000072AC" w:rsidRDefault="00563672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9F2846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There may be an argument that the hourly paid employee does not perform the same proportion of departmental duties. In pra</w:t>
      </w:r>
      <w:r w:rsidR="00563672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ctice, many hourly paid workers’ commitment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is </w:t>
      </w:r>
      <w:r w:rsidR="00563672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supererogatory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 as they are desperate to secure a less precarious position. In any case the difference in the number of actual hours worked, even </w:t>
      </w:r>
      <w:r w:rsidR="00563672"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i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f it exists at all, would not and could not amount to 17%, let alone 25 or 30%.</w:t>
      </w:r>
    </w:p>
    <w:p w:rsidR="004A4D9B" w:rsidRDefault="004A4D9B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4A4D9B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93376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UCU negotiators need to address this </w:t>
      </w:r>
      <w:r w:rsidR="009F2846" w:rsidRPr="0093376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problem</w:t>
      </w:r>
      <w:r w:rsidRPr="0093376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, we need to get TPS to </w:t>
      </w:r>
      <w:r w:rsidR="009F2846" w:rsidRPr="0093376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make the rate more proportional </w:t>
      </w:r>
      <w:r w:rsidRPr="0093376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to the full time contract or refuse to allow the continued use of </w:t>
      </w:r>
      <w:r w:rsidR="009F2846" w:rsidRPr="0093376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 xml:space="preserve">all hourly paid </w:t>
      </w:r>
      <w:r w:rsidR="002B3FE8" w:rsidRPr="00933765"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  <w:t>part time contract beyond four years and move staff onto fractional contracts.</w:t>
      </w:r>
    </w:p>
    <w:p w:rsidR="00124DC8" w:rsidRDefault="00124DC8">
      <w:bookmarkStart w:id="0" w:name="_GoBack"/>
      <w:bookmarkEnd w:id="0"/>
    </w:p>
    <w:sectPr w:rsidR="00124D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D2" w:rsidRDefault="00DB7BD2" w:rsidP="00DB7BD2">
      <w:r>
        <w:separator/>
      </w:r>
    </w:p>
  </w:endnote>
  <w:endnote w:type="continuationSeparator" w:id="0">
    <w:p w:rsidR="00DB7BD2" w:rsidRDefault="00DB7BD2" w:rsidP="00D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D2" w:rsidRDefault="00DB7BD2" w:rsidP="00DB7BD2">
      <w:r>
        <w:separator/>
      </w:r>
    </w:p>
  </w:footnote>
  <w:footnote w:type="continuationSeparator" w:id="0">
    <w:p w:rsidR="00DB7BD2" w:rsidRDefault="00DB7BD2" w:rsidP="00DB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D2" w:rsidRDefault="00DB7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6"/>
    <w:rsid w:val="000072AC"/>
    <w:rsid w:val="00124DC8"/>
    <w:rsid w:val="002B3FE8"/>
    <w:rsid w:val="004A4D9B"/>
    <w:rsid w:val="00563672"/>
    <w:rsid w:val="007530D5"/>
    <w:rsid w:val="00832CD6"/>
    <w:rsid w:val="00933765"/>
    <w:rsid w:val="009F2846"/>
    <w:rsid w:val="00A816C5"/>
    <w:rsid w:val="00C50B8D"/>
    <w:rsid w:val="00D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4CCD68-A441-4142-95D5-7CE9263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D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7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D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 Jones</dc:creator>
  <cp:keywords/>
  <dc:description/>
  <cp:lastModifiedBy>Lucy  Jones</cp:lastModifiedBy>
  <cp:revision>2</cp:revision>
  <dcterms:created xsi:type="dcterms:W3CDTF">2021-03-15T15:45:00Z</dcterms:created>
  <dcterms:modified xsi:type="dcterms:W3CDTF">2021-03-15T15:45:00Z</dcterms:modified>
</cp:coreProperties>
</file>