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9ECFE" w14:textId="7424D440"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Dear </w:t>
      </w:r>
    </w:p>
    <w:p w14:paraId="05259ACD" w14:textId="77777777" w:rsidR="003F3916" w:rsidRPr="003F3916" w:rsidRDefault="003F3916" w:rsidP="003F3916">
      <w:pPr>
        <w:jc w:val="both"/>
        <w:rPr>
          <w:rFonts w:ascii="Times New Roman" w:eastAsia="Times New Roman" w:hAnsi="Times New Roman" w:cs="Times New Roman"/>
        </w:rPr>
      </w:pPr>
    </w:p>
    <w:p w14:paraId="0EB06BBD"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I am writing to you in my capacity as ... for the University’s UCU branch. As you know, USS is currently consulting employers on its 2018 valuation. This valuation is intended to replace, as soon as possible, USS’s recently filed 2017 valuation, which will impose large, escalating shared contribution increases on members and employers from April 2019 onwards.</w:t>
      </w:r>
    </w:p>
    <w:p w14:paraId="2121ED28" w14:textId="77777777" w:rsidR="003F3916" w:rsidRPr="003F3916" w:rsidRDefault="003F3916" w:rsidP="003F3916">
      <w:pPr>
        <w:jc w:val="both"/>
        <w:rPr>
          <w:rFonts w:ascii="Times New Roman" w:eastAsia="Times New Roman" w:hAnsi="Times New Roman" w:cs="Times New Roman"/>
        </w:rPr>
      </w:pPr>
    </w:p>
    <w:p w14:paraId="2D93D38D"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For this 2018 valuation, USS has been able to take into account the proposals made by the first </w:t>
      </w:r>
      <w:hyperlink r:id="rId5" w:history="1">
        <w:r w:rsidRPr="003F3916">
          <w:rPr>
            <w:rFonts w:ascii="Arial" w:eastAsia="Times New Roman" w:hAnsi="Arial" w:cs="Arial"/>
            <w:color w:val="1155CC"/>
            <w:sz w:val="22"/>
            <w:szCs w:val="22"/>
            <w:u w:val="single"/>
          </w:rPr>
          <w:t>report</w:t>
        </w:r>
      </w:hyperlink>
      <w:r w:rsidRPr="003F3916">
        <w:rPr>
          <w:rFonts w:ascii="Arial" w:eastAsia="Times New Roman" w:hAnsi="Arial" w:cs="Arial"/>
          <w:color w:val="000000"/>
          <w:sz w:val="22"/>
          <w:szCs w:val="22"/>
        </w:rPr>
        <w:t xml:space="preserve"> of the UCU-UUK Joint Expert Panel (JEP). The JEP’s proposals were intended as modest, short-term measures for producing a valuation that reflected the true health of the Scheme and maintaining contribution rates at appropriate levels. Given more time, the JEP would have recommended much more sweeping changes, and indeed it appears to be preparing to do so in its forthcoming second report.</w:t>
      </w:r>
    </w:p>
    <w:p w14:paraId="1B278EA8" w14:textId="77777777" w:rsidR="003F3916" w:rsidRPr="003F3916" w:rsidRDefault="003F3916" w:rsidP="003F3916">
      <w:pPr>
        <w:jc w:val="both"/>
        <w:rPr>
          <w:rFonts w:ascii="Times New Roman" w:eastAsia="Times New Roman" w:hAnsi="Times New Roman" w:cs="Times New Roman"/>
        </w:rPr>
      </w:pPr>
    </w:p>
    <w:p w14:paraId="579892FB"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Recently, we learnt that USS has calculated that if all of the first report’s proposals were applied to the 2018 valuation, the Scheme would no longer be in deficit and the total contribution rate required of employers and members would be 25.5% of salary: in other words, less than the 26% we are paying now. Moreover, both UCU and UUK’s actuarial advisers (First Actuarial and Aon) have indicated that they would regard such a valuation as prudent and in conformity with current regulations. However, USS itself does not. In its </w:t>
      </w:r>
      <w:hyperlink r:id="rId6" w:history="1">
        <w:r w:rsidRPr="003F3916">
          <w:rPr>
            <w:rFonts w:ascii="Arial" w:eastAsia="Times New Roman" w:hAnsi="Arial" w:cs="Arial"/>
            <w:color w:val="1155CC"/>
            <w:sz w:val="22"/>
            <w:szCs w:val="22"/>
            <w:u w:val="single"/>
          </w:rPr>
          <w:t>valuation document</w:t>
        </w:r>
      </w:hyperlink>
      <w:r w:rsidRPr="003F3916">
        <w:rPr>
          <w:rFonts w:ascii="Arial" w:eastAsia="Times New Roman" w:hAnsi="Arial" w:cs="Arial"/>
          <w:color w:val="000000"/>
          <w:sz w:val="22"/>
          <w:szCs w:val="22"/>
        </w:rPr>
        <w:t xml:space="preserve"> of 2nd January USS has decided to reject two of the JEP’s proposals out of hand, and only to accept certain others if employers (and possibly members) promise to provide ‘contingent support’ if the Scheme’s funding position worsens in unspecified ways between valuations. USS have stated that the trigger contributions could equate to 4%.  </w:t>
      </w:r>
    </w:p>
    <w:p w14:paraId="134B79C2" w14:textId="77777777" w:rsidR="003F3916" w:rsidRPr="003F3916" w:rsidRDefault="003F3916" w:rsidP="003F3916">
      <w:pPr>
        <w:jc w:val="both"/>
        <w:rPr>
          <w:rFonts w:ascii="Times New Roman" w:eastAsia="Times New Roman" w:hAnsi="Times New Roman" w:cs="Times New Roman"/>
        </w:rPr>
      </w:pPr>
    </w:p>
    <w:p w14:paraId="518AC165"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Having followed the dispute since the JEP published its first report, I remain far from convinced that employers are serious about listening to the advice of the JEP or implementing its proposals. It is true that the majority of them indicated a willingness to accept the JEP’s proposals in principle. However, employers still have not acknowledged the wide range of failings which the JEP identified in USS’s governance, consultation processes, actuarial methodology, and interactions with The Pensions Regulator (TPR). Even more importantly, since USS publicised its unwillingness to accept the JEP’s proposals in full, employers have displayed very little appetite for challenging the Scheme on the specific terms of its rejection of the JEP. </w:t>
      </w:r>
    </w:p>
    <w:p w14:paraId="532A2931" w14:textId="77777777" w:rsidR="003F3916" w:rsidRPr="003F3916" w:rsidRDefault="003F3916" w:rsidP="003F3916">
      <w:pPr>
        <w:jc w:val="both"/>
        <w:rPr>
          <w:rFonts w:ascii="Times New Roman" w:eastAsia="Times New Roman" w:hAnsi="Times New Roman" w:cs="Times New Roman"/>
        </w:rPr>
      </w:pPr>
    </w:p>
    <w:p w14:paraId="137B0D0D"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This raises a further question: if employers fail to put any pressure on USS to accept the JEP’s first report, what will happen when the JEP publishes its second report? In agreeing to establish the JEP in exchange for a suspension of strike action, and negotiating its terms of reference with UCU, employers agreed to commission the JEP to consider not only this valuation but also the longer-term future of the Scheme. If, as seems likely, the JEP’s second report urges even more significant changes to USS – on the level of governance and member representation, for example, or the use of gilts-based targets to drive the investment strategy – how do employers intend to press USS to accept them? And how will members be able to trust employers to do so if they’ve already refused to push for the much more modest changes proposed in the first report? </w:t>
      </w:r>
    </w:p>
    <w:p w14:paraId="72B073CD" w14:textId="77777777" w:rsidR="003F3916" w:rsidRPr="003F3916" w:rsidRDefault="003F3916" w:rsidP="003F3916">
      <w:pPr>
        <w:jc w:val="both"/>
        <w:rPr>
          <w:rFonts w:ascii="Times New Roman" w:eastAsia="Times New Roman" w:hAnsi="Times New Roman" w:cs="Times New Roman"/>
        </w:rPr>
      </w:pPr>
    </w:p>
    <w:p w14:paraId="765775A2"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In other words, the present consultation offers employers a crucial opportunity to show that they are serious about holding up their end of the bargain which they entered into in April 2018, not only in the shorter but also in the longer term. Fortunately, it is not too late to challenge USS’s 2018 valuation plans. There are a number of measures which employers could have taken, and are still able to take, in pursuit of a 2018 valuation that reflects the true health of the Scheme. Below I lay out those measures in the hope that the University's governing body and any other relevant committee(s) will take them up before finalising the University’s response to USS’s consultation. Employers should:</w:t>
      </w:r>
    </w:p>
    <w:p w14:paraId="1448B2ED" w14:textId="77777777" w:rsidR="003F3916" w:rsidRPr="003F3916" w:rsidRDefault="003F3916" w:rsidP="003F3916">
      <w:pPr>
        <w:jc w:val="both"/>
        <w:rPr>
          <w:rFonts w:ascii="Times New Roman" w:eastAsia="Times New Roman" w:hAnsi="Times New Roman" w:cs="Times New Roman"/>
        </w:rPr>
      </w:pPr>
    </w:p>
    <w:p w14:paraId="4404F74D" w14:textId="77777777" w:rsidR="003F3916" w:rsidRPr="003F3916" w:rsidRDefault="003F3916" w:rsidP="003F3916">
      <w:pPr>
        <w:numPr>
          <w:ilvl w:val="0"/>
          <w:numId w:val="1"/>
        </w:numPr>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rPr>
        <w:t>Ask their actuarial advisers Aon to comment publicly on the hugely important finding by Dr Sam Marsh of the University of Sheffield, based on cashflow and asset data, that USS could comfortably achieve a position within £10bn of self-sufficiency within its 20-year covenant horizon by keeping its current investment strategy and contribution rates: in other words, without ‘de-risking’ and without requiring large contribution increases, as USS had claimed. UCU has already asked First Actuarial to comment on this finding.</w:t>
      </w:r>
    </w:p>
    <w:p w14:paraId="0D903093" w14:textId="77777777" w:rsidR="003F3916" w:rsidRPr="003F3916" w:rsidRDefault="003F3916" w:rsidP="003F3916">
      <w:pPr>
        <w:jc w:val="both"/>
        <w:rPr>
          <w:rFonts w:ascii="Times New Roman" w:eastAsia="Times New Roman" w:hAnsi="Times New Roman" w:cs="Times New Roman"/>
        </w:rPr>
      </w:pPr>
    </w:p>
    <w:p w14:paraId="6FA42495" w14:textId="77777777" w:rsidR="003F3916" w:rsidRPr="003F3916" w:rsidRDefault="003F3916" w:rsidP="003F3916">
      <w:pPr>
        <w:numPr>
          <w:ilvl w:val="0"/>
          <w:numId w:val="2"/>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rPr>
        <w:t>Ask USS to provide the equivalent data for the 2018 valuation, which would confirm the long-term health of the Scheme. So far only UCU has asked for it via the Joint Negotiating Committee (JNC), whereas employers apparently have not.</w:t>
      </w:r>
    </w:p>
    <w:p w14:paraId="071C5647" w14:textId="77777777" w:rsidR="003F3916" w:rsidRPr="003F3916" w:rsidRDefault="003F3916" w:rsidP="003F3916">
      <w:pPr>
        <w:ind w:left="709" w:hanging="283"/>
        <w:jc w:val="both"/>
        <w:rPr>
          <w:rFonts w:ascii="Times New Roman" w:eastAsia="Times New Roman" w:hAnsi="Times New Roman" w:cs="Times New Roman"/>
        </w:rPr>
      </w:pPr>
    </w:p>
    <w:p w14:paraId="652695DE" w14:textId="77777777" w:rsidR="003F3916" w:rsidRPr="003F3916" w:rsidRDefault="003F3916" w:rsidP="003F3916">
      <w:pPr>
        <w:numPr>
          <w:ilvl w:val="0"/>
          <w:numId w:val="3"/>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rPr>
        <w:t xml:space="preserve">Ask USS why it continues to use Test 1 to drive its investment strategy, when even TPR is willing (according to its recent, 11 December 2018 </w:t>
      </w:r>
      <w:hyperlink r:id="rId7" w:history="1">
        <w:r w:rsidRPr="003F3916">
          <w:rPr>
            <w:rFonts w:ascii="Arial" w:eastAsia="Times New Roman" w:hAnsi="Arial" w:cs="Arial"/>
            <w:color w:val="1155CC"/>
            <w:sz w:val="22"/>
            <w:szCs w:val="22"/>
            <w:u w:val="single"/>
          </w:rPr>
          <w:t>letter</w:t>
        </w:r>
      </w:hyperlink>
      <w:r w:rsidRPr="003F3916">
        <w:rPr>
          <w:rFonts w:ascii="Arial" w:eastAsia="Times New Roman" w:hAnsi="Arial" w:cs="Arial"/>
          <w:color w:val="14171A"/>
          <w:sz w:val="22"/>
          <w:szCs w:val="22"/>
        </w:rPr>
        <w:t xml:space="preserve"> to USS) to let the Scheme stop doing so. Please see this recent </w:t>
      </w:r>
      <w:hyperlink r:id="rId8" w:history="1">
        <w:r w:rsidRPr="003F3916">
          <w:rPr>
            <w:rFonts w:ascii="Arial" w:eastAsia="Times New Roman" w:hAnsi="Arial" w:cs="Arial"/>
            <w:color w:val="1155CC"/>
            <w:sz w:val="22"/>
            <w:szCs w:val="22"/>
            <w:u w:val="single"/>
          </w:rPr>
          <w:t>survey</w:t>
        </w:r>
      </w:hyperlink>
      <w:r w:rsidRPr="003F3916">
        <w:rPr>
          <w:rFonts w:ascii="Arial" w:eastAsia="Times New Roman" w:hAnsi="Arial" w:cs="Arial"/>
          <w:color w:val="14171A"/>
          <w:sz w:val="22"/>
          <w:szCs w:val="22"/>
        </w:rPr>
        <w:t xml:space="preserve"> of critiques of Test 1.  </w:t>
      </w:r>
    </w:p>
    <w:p w14:paraId="145048B5" w14:textId="77777777" w:rsidR="003F3916" w:rsidRPr="003F3916" w:rsidRDefault="003F3916" w:rsidP="003F3916">
      <w:pPr>
        <w:ind w:left="709" w:hanging="283"/>
        <w:jc w:val="both"/>
        <w:rPr>
          <w:rFonts w:ascii="Times New Roman" w:eastAsia="Times New Roman" w:hAnsi="Times New Roman" w:cs="Times New Roman"/>
        </w:rPr>
      </w:pPr>
    </w:p>
    <w:p w14:paraId="6702002C" w14:textId="77777777" w:rsidR="003F3916" w:rsidRPr="003F3916" w:rsidRDefault="003F3916" w:rsidP="003F3916">
      <w:pPr>
        <w:numPr>
          <w:ilvl w:val="0"/>
          <w:numId w:val="4"/>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rPr>
        <w:t>Ask USS to explain why it is no longer willing to delay the de-risking imposed by Test 1, as it proposed to do in September 2017 – a proposal which the JEP said USS should revisit. USS's 2018 valuation document does not even try to explain why the Scheme will not do this anymore.</w:t>
      </w:r>
    </w:p>
    <w:p w14:paraId="52CD8F92" w14:textId="77777777" w:rsidR="003F3916" w:rsidRPr="003F3916" w:rsidRDefault="003F3916" w:rsidP="003F3916">
      <w:pPr>
        <w:ind w:left="709" w:hanging="283"/>
        <w:jc w:val="both"/>
        <w:rPr>
          <w:rFonts w:ascii="Times New Roman" w:eastAsia="Times New Roman" w:hAnsi="Times New Roman" w:cs="Times New Roman"/>
        </w:rPr>
      </w:pPr>
    </w:p>
    <w:p w14:paraId="3309A9FC" w14:textId="77777777" w:rsidR="003F3916" w:rsidRPr="003F3916" w:rsidRDefault="003F3916" w:rsidP="003F3916">
      <w:pPr>
        <w:numPr>
          <w:ilvl w:val="0"/>
          <w:numId w:val="5"/>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rPr>
        <w:t xml:space="preserve">Ask USS to challenge TPR in the areas where we know TPR is wrong: first, covenant strength, where TPR is contradicted by detailed reviews by two auditors and the JEP; and secondly, projections of Scheme vs. sector growth, where the JEP has disproven TPR's claims using USS’s own data (see Annex 7 of the JEP </w:t>
      </w:r>
      <w:hyperlink r:id="rId9" w:history="1">
        <w:r w:rsidRPr="003F3916">
          <w:rPr>
            <w:rFonts w:ascii="Arial" w:eastAsia="Times New Roman" w:hAnsi="Arial" w:cs="Arial"/>
            <w:color w:val="1155CC"/>
            <w:sz w:val="22"/>
            <w:szCs w:val="22"/>
            <w:u w:val="single"/>
          </w:rPr>
          <w:t>report</w:t>
        </w:r>
      </w:hyperlink>
      <w:r w:rsidRPr="003F3916">
        <w:rPr>
          <w:rFonts w:ascii="Arial" w:eastAsia="Times New Roman" w:hAnsi="Arial" w:cs="Arial"/>
          <w:color w:val="14171A"/>
          <w:sz w:val="22"/>
          <w:szCs w:val="22"/>
        </w:rPr>
        <w:t>). Also, challenge TPR on the extent to which they are exceeding their statutory remit by getting involved in the management of scheme they regulate.</w:t>
      </w:r>
    </w:p>
    <w:p w14:paraId="14CAE923" w14:textId="77777777" w:rsidR="003F3916" w:rsidRPr="003F3916" w:rsidRDefault="003F3916" w:rsidP="003F3916">
      <w:pPr>
        <w:ind w:left="709" w:hanging="283"/>
        <w:jc w:val="both"/>
        <w:rPr>
          <w:rFonts w:ascii="Times New Roman" w:eastAsia="Times New Roman" w:hAnsi="Times New Roman" w:cs="Times New Roman"/>
        </w:rPr>
      </w:pPr>
    </w:p>
    <w:p w14:paraId="475EAD38" w14:textId="77777777" w:rsidR="003F3916" w:rsidRPr="003F3916" w:rsidRDefault="003F3916" w:rsidP="003F3916">
      <w:pPr>
        <w:numPr>
          <w:ilvl w:val="0"/>
          <w:numId w:val="6"/>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14171A"/>
          <w:sz w:val="22"/>
          <w:szCs w:val="22"/>
          <w:shd w:val="clear" w:color="auto" w:fill="FFFFFF"/>
        </w:rPr>
        <w:t>Ask USS to substantiate its completely un-evidenced claim in the new valuation document that TPR won't allow the Scheme to implement all of the JEP proposals because the resulting technical provisions discount rate would be too high compared with the going rate for gilts.</w:t>
      </w:r>
    </w:p>
    <w:p w14:paraId="16281E74" w14:textId="77777777" w:rsidR="003F3916" w:rsidRPr="003F3916" w:rsidRDefault="003F3916" w:rsidP="003F3916">
      <w:pPr>
        <w:ind w:left="709" w:hanging="283"/>
        <w:jc w:val="both"/>
        <w:rPr>
          <w:rFonts w:ascii="Times New Roman" w:eastAsia="Times New Roman" w:hAnsi="Times New Roman" w:cs="Times New Roman"/>
        </w:rPr>
      </w:pPr>
    </w:p>
    <w:p w14:paraId="1C250B34" w14:textId="77777777" w:rsidR="003F3916" w:rsidRPr="003F3916" w:rsidRDefault="003F3916" w:rsidP="003F3916">
      <w:pPr>
        <w:numPr>
          <w:ilvl w:val="0"/>
          <w:numId w:val="7"/>
        </w:numPr>
        <w:shd w:val="clear" w:color="auto" w:fill="FFFFFF"/>
        <w:ind w:left="709" w:hanging="283"/>
        <w:jc w:val="both"/>
        <w:textAlignment w:val="baseline"/>
        <w:rPr>
          <w:rFonts w:ascii="Arial" w:eastAsia="Times New Roman" w:hAnsi="Arial" w:cs="Arial"/>
          <w:color w:val="14171A"/>
          <w:sz w:val="22"/>
          <w:szCs w:val="22"/>
        </w:rPr>
      </w:pPr>
      <w:r w:rsidRPr="003F3916">
        <w:rPr>
          <w:rFonts w:ascii="Arial" w:eastAsia="Times New Roman" w:hAnsi="Arial" w:cs="Arial"/>
          <w:color w:val="14171A"/>
          <w:sz w:val="22"/>
          <w:szCs w:val="22"/>
          <w:shd w:val="clear" w:color="auto" w:fill="FFFFFF"/>
        </w:rPr>
        <w:t>Instruct the employer-appointed Trustee board members to accept all of the JEP proposals.</w:t>
      </w:r>
    </w:p>
    <w:p w14:paraId="542B932B" w14:textId="77777777" w:rsidR="003F3916" w:rsidRPr="003F3916" w:rsidRDefault="003F3916" w:rsidP="003F3916">
      <w:pPr>
        <w:ind w:left="709" w:hanging="283"/>
        <w:jc w:val="both"/>
        <w:rPr>
          <w:rFonts w:ascii="Times New Roman" w:eastAsia="Times New Roman" w:hAnsi="Times New Roman" w:cs="Times New Roman"/>
        </w:rPr>
      </w:pPr>
    </w:p>
    <w:p w14:paraId="26B9CB30" w14:textId="5382D96E" w:rsidR="003F3916" w:rsidRDefault="003F3916" w:rsidP="003F3916">
      <w:pPr>
        <w:numPr>
          <w:ilvl w:val="0"/>
          <w:numId w:val="8"/>
        </w:numPr>
        <w:ind w:left="709" w:hanging="283"/>
        <w:jc w:val="both"/>
        <w:textAlignment w:val="baseline"/>
        <w:rPr>
          <w:rFonts w:ascii="Arial" w:eastAsia="Times New Roman" w:hAnsi="Arial" w:cs="Arial"/>
          <w:color w:val="000000"/>
          <w:sz w:val="22"/>
          <w:szCs w:val="22"/>
        </w:rPr>
      </w:pPr>
      <w:r w:rsidRPr="003F3916">
        <w:rPr>
          <w:rFonts w:ascii="Arial" w:eastAsia="Times New Roman" w:hAnsi="Arial" w:cs="Arial"/>
          <w:color w:val="000000"/>
          <w:sz w:val="22"/>
          <w:szCs w:val="22"/>
        </w:rPr>
        <w:t xml:space="preserve">Reject USS's recent and unorthodox request to UUK to propose the conditions for and extent of 'trigger' contributions on the grounds that </w:t>
      </w:r>
      <w:r w:rsidR="0008481B">
        <w:rPr>
          <w:rFonts w:ascii="Arial" w:eastAsia="Times New Roman" w:hAnsi="Arial" w:cs="Arial"/>
          <w:color w:val="000000"/>
          <w:sz w:val="22"/>
          <w:szCs w:val="22"/>
        </w:rPr>
        <w:t>USS</w:t>
      </w:r>
      <w:r w:rsidRPr="003F3916">
        <w:rPr>
          <w:rFonts w:ascii="Arial" w:eastAsia="Times New Roman" w:hAnsi="Arial" w:cs="Arial"/>
          <w:color w:val="000000"/>
          <w:sz w:val="22"/>
          <w:szCs w:val="22"/>
        </w:rPr>
        <w:t xml:space="preserve"> </w:t>
      </w:r>
      <w:r w:rsidR="0008481B">
        <w:rPr>
          <w:rFonts w:ascii="Arial" w:eastAsia="Times New Roman" w:hAnsi="Arial" w:cs="Arial"/>
          <w:color w:val="000000"/>
          <w:sz w:val="22"/>
          <w:szCs w:val="22"/>
        </w:rPr>
        <w:t xml:space="preserve">have </w:t>
      </w:r>
      <w:r w:rsidRPr="003F3916">
        <w:rPr>
          <w:rFonts w:ascii="Arial" w:eastAsia="Times New Roman" w:hAnsi="Arial" w:cs="Arial"/>
          <w:color w:val="000000"/>
          <w:sz w:val="22"/>
          <w:szCs w:val="22"/>
        </w:rPr>
        <w:t xml:space="preserve">provided </w:t>
      </w:r>
      <w:r w:rsidR="0008481B">
        <w:rPr>
          <w:rFonts w:ascii="Arial" w:eastAsia="Times New Roman" w:hAnsi="Arial" w:cs="Arial"/>
          <w:color w:val="000000"/>
          <w:sz w:val="22"/>
          <w:szCs w:val="22"/>
        </w:rPr>
        <w:t>no data to</w:t>
      </w:r>
      <w:r w:rsidRPr="003F3916">
        <w:rPr>
          <w:rFonts w:ascii="Arial" w:eastAsia="Times New Roman" w:hAnsi="Arial" w:cs="Arial"/>
          <w:color w:val="000000"/>
          <w:sz w:val="22"/>
          <w:szCs w:val="22"/>
        </w:rPr>
        <w:t xml:space="preserve"> justif</w:t>
      </w:r>
      <w:r w:rsidR="0008481B">
        <w:rPr>
          <w:rFonts w:ascii="Arial" w:eastAsia="Times New Roman" w:hAnsi="Arial" w:cs="Arial"/>
          <w:color w:val="000000"/>
          <w:sz w:val="22"/>
          <w:szCs w:val="22"/>
        </w:rPr>
        <w:t xml:space="preserve">y the need for these. </w:t>
      </w:r>
      <w:r w:rsidRPr="003F3916">
        <w:rPr>
          <w:rFonts w:ascii="Arial" w:eastAsia="Times New Roman" w:hAnsi="Arial" w:cs="Arial"/>
          <w:color w:val="000000"/>
          <w:sz w:val="22"/>
          <w:szCs w:val="22"/>
        </w:rPr>
        <w:t xml:space="preserve">The Scheme came through the 2008-09 financial crisis without any emergency rise in contributions. (See USS's </w:t>
      </w:r>
      <w:hyperlink r:id="rId10" w:history="1">
        <w:r w:rsidRPr="003F3916">
          <w:rPr>
            <w:rFonts w:ascii="Arial" w:eastAsia="Times New Roman" w:hAnsi="Arial" w:cs="Arial"/>
            <w:color w:val="000000"/>
            <w:sz w:val="22"/>
            <w:szCs w:val="22"/>
            <w:u w:val="single"/>
          </w:rPr>
          <w:t>summary</w:t>
        </w:r>
      </w:hyperlink>
      <w:r w:rsidRPr="003F3916">
        <w:rPr>
          <w:rFonts w:ascii="Arial" w:eastAsia="Times New Roman" w:hAnsi="Arial" w:cs="Arial"/>
          <w:color w:val="000000"/>
          <w:sz w:val="22"/>
          <w:szCs w:val="22"/>
        </w:rPr>
        <w:t xml:space="preserve"> of the size of the DB fund 2008-2018). </w:t>
      </w:r>
    </w:p>
    <w:p w14:paraId="5DDC42A0" w14:textId="77777777" w:rsidR="0008481B" w:rsidRPr="003F3916" w:rsidRDefault="0008481B" w:rsidP="0008481B">
      <w:pPr>
        <w:ind w:left="709"/>
        <w:jc w:val="both"/>
        <w:textAlignment w:val="baseline"/>
        <w:rPr>
          <w:rFonts w:ascii="Arial" w:eastAsia="Times New Roman" w:hAnsi="Arial" w:cs="Arial"/>
          <w:color w:val="000000"/>
          <w:sz w:val="22"/>
          <w:szCs w:val="22"/>
        </w:rPr>
      </w:pPr>
      <w:bookmarkStart w:id="0" w:name="_GoBack"/>
      <w:bookmarkEnd w:id="0"/>
    </w:p>
    <w:p w14:paraId="71314970" w14:textId="77777777" w:rsidR="003F3916" w:rsidRPr="003F3916" w:rsidRDefault="003F3916" w:rsidP="003F3916">
      <w:pPr>
        <w:numPr>
          <w:ilvl w:val="0"/>
          <w:numId w:val="9"/>
        </w:numPr>
        <w:ind w:left="709" w:hanging="283"/>
        <w:jc w:val="both"/>
        <w:textAlignment w:val="baseline"/>
        <w:rPr>
          <w:rFonts w:ascii="Arial" w:eastAsia="Times New Roman" w:hAnsi="Arial" w:cs="Arial"/>
          <w:color w:val="14171A"/>
          <w:sz w:val="22"/>
          <w:szCs w:val="22"/>
        </w:rPr>
      </w:pPr>
      <w:r w:rsidRPr="003F3916">
        <w:rPr>
          <w:rFonts w:ascii="Arial" w:eastAsia="Times New Roman" w:hAnsi="Arial" w:cs="Arial"/>
          <w:color w:val="14171A"/>
          <w:sz w:val="22"/>
          <w:szCs w:val="22"/>
        </w:rPr>
        <w:t>If USS continues to resist on all these fronts, consider passing a vote of no confidence in the USS Executive and even, if necessary, the USS Trustee, via the JNC and/or the Board of UUK.</w:t>
      </w:r>
    </w:p>
    <w:p w14:paraId="0ADB4AD2" w14:textId="77777777" w:rsidR="003F3916" w:rsidRPr="003F3916" w:rsidRDefault="003F3916" w:rsidP="003F3916">
      <w:pPr>
        <w:ind w:left="709" w:hanging="283"/>
        <w:jc w:val="both"/>
        <w:rPr>
          <w:rFonts w:ascii="Times New Roman" w:eastAsia="Times New Roman" w:hAnsi="Times New Roman" w:cs="Times New Roman"/>
        </w:rPr>
      </w:pPr>
    </w:p>
    <w:p w14:paraId="19D21AF4" w14:textId="77777777" w:rsidR="003F3916" w:rsidRPr="003F3916" w:rsidRDefault="003F3916" w:rsidP="003F3916">
      <w:pPr>
        <w:numPr>
          <w:ilvl w:val="0"/>
          <w:numId w:val="10"/>
        </w:numPr>
        <w:ind w:left="709" w:hanging="283"/>
        <w:jc w:val="both"/>
        <w:textAlignment w:val="baseline"/>
        <w:rPr>
          <w:rFonts w:ascii="Arial" w:eastAsia="Times New Roman" w:hAnsi="Arial" w:cs="Arial"/>
          <w:color w:val="14171A"/>
          <w:sz w:val="22"/>
          <w:szCs w:val="22"/>
        </w:rPr>
      </w:pPr>
      <w:r w:rsidRPr="003F3916">
        <w:rPr>
          <w:rFonts w:ascii="Arial" w:eastAsia="Times New Roman" w:hAnsi="Arial" w:cs="Arial"/>
          <w:color w:val="14171A"/>
          <w:sz w:val="22"/>
          <w:szCs w:val="22"/>
        </w:rPr>
        <w:t xml:space="preserve">Consider taking  USS to court, as UUK </w:t>
      </w:r>
      <w:hyperlink r:id="rId11" w:history="1">
        <w:r w:rsidRPr="003F3916">
          <w:rPr>
            <w:rFonts w:ascii="Arial" w:eastAsia="Times New Roman" w:hAnsi="Arial" w:cs="Arial"/>
            <w:color w:val="1155CC"/>
            <w:sz w:val="22"/>
            <w:szCs w:val="22"/>
            <w:u w:val="single"/>
          </w:rPr>
          <w:t>threatened</w:t>
        </w:r>
      </w:hyperlink>
      <w:r w:rsidRPr="003F3916">
        <w:rPr>
          <w:rFonts w:ascii="Arial" w:eastAsia="Times New Roman" w:hAnsi="Arial" w:cs="Arial"/>
          <w:color w:val="14171A"/>
          <w:sz w:val="22"/>
          <w:szCs w:val="22"/>
        </w:rPr>
        <w:t xml:space="preserve"> to do when USS, in September 2017, suggested 'trigger' contributions along very similar lines to the ones they are proposing now.</w:t>
      </w:r>
    </w:p>
    <w:p w14:paraId="2C60D31D" w14:textId="77777777" w:rsidR="003F3916" w:rsidRPr="003F3916" w:rsidRDefault="003F3916" w:rsidP="003F3916">
      <w:pPr>
        <w:jc w:val="both"/>
        <w:rPr>
          <w:rFonts w:ascii="Times New Roman" w:eastAsia="Times New Roman" w:hAnsi="Times New Roman" w:cs="Times New Roman"/>
        </w:rPr>
      </w:pPr>
    </w:p>
    <w:p w14:paraId="198FDC86" w14:textId="715830AF"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At a national level, UCU’s policy is that we do not accept that members’ contributions need to be increased or benefits cut. This policy represents what members deserve for their hard work in making the Higher Education sector so extraordinarily successful. It also has the advantage </w:t>
      </w:r>
      <w:r w:rsidRPr="003F3916">
        <w:rPr>
          <w:rFonts w:ascii="Arial" w:eastAsia="Times New Roman" w:hAnsi="Arial" w:cs="Arial"/>
          <w:color w:val="000000"/>
          <w:sz w:val="22"/>
          <w:szCs w:val="22"/>
        </w:rPr>
        <w:lastRenderedPageBreak/>
        <w:t>of being in line with actuarial positions,</w:t>
      </w:r>
      <w:r>
        <w:rPr>
          <w:rFonts w:ascii="Arial" w:eastAsia="Times New Roman" w:hAnsi="Arial" w:cs="Arial"/>
          <w:color w:val="000000"/>
          <w:sz w:val="22"/>
          <w:szCs w:val="22"/>
        </w:rPr>
        <w:t xml:space="preserve"> </w:t>
      </w:r>
      <w:r w:rsidRPr="003F3916">
        <w:rPr>
          <w:rFonts w:ascii="Arial" w:eastAsia="Times New Roman" w:hAnsi="Arial" w:cs="Arial"/>
          <w:color w:val="000000"/>
          <w:sz w:val="22"/>
          <w:szCs w:val="22"/>
        </w:rPr>
        <w:t xml:space="preserve">acknowledged by the broad expert consensus of the JEP, First Actuarial, Aon, and various other parties. Much of what I have said in this letter echoes the </w:t>
      </w:r>
      <w:hyperlink r:id="rId12" w:history="1">
        <w:r w:rsidRPr="003F3916">
          <w:rPr>
            <w:rFonts w:ascii="Arial" w:eastAsia="Times New Roman" w:hAnsi="Arial" w:cs="Arial"/>
            <w:color w:val="1155CC"/>
            <w:sz w:val="22"/>
            <w:szCs w:val="22"/>
            <w:u w:val="single"/>
          </w:rPr>
          <w:t>briefing materials</w:t>
        </w:r>
      </w:hyperlink>
      <w:r w:rsidRPr="003F3916">
        <w:rPr>
          <w:rFonts w:ascii="Arial" w:eastAsia="Times New Roman" w:hAnsi="Arial" w:cs="Arial"/>
          <w:color w:val="000000"/>
          <w:sz w:val="22"/>
          <w:szCs w:val="22"/>
        </w:rPr>
        <w:t xml:space="preserve"> prepared by UCU’s newly elected National Dispute Committee, which has taken a dim view of USS’s response to the JEP and of the notion that employers cannot do anything to influence USS's actions. If employers refuse to push USS to accept the truth, I would not be surprised to see the Union initiate another ballot for strike action across all of its pre-92 branches.</w:t>
      </w:r>
    </w:p>
    <w:p w14:paraId="3F0BC41E" w14:textId="77777777" w:rsidR="003F3916" w:rsidRPr="003F3916" w:rsidRDefault="003F3916" w:rsidP="003F3916">
      <w:pPr>
        <w:jc w:val="both"/>
        <w:rPr>
          <w:rFonts w:ascii="Times New Roman" w:eastAsia="Times New Roman" w:hAnsi="Times New Roman" w:cs="Times New Roman"/>
        </w:rPr>
      </w:pPr>
    </w:p>
    <w:p w14:paraId="416F78A8"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I would be grateful if you could indicate your views on the above proposals. It is in both members’ and employers’ interests to cooperate as closely as possible while there is still time to influence USS.</w:t>
      </w:r>
    </w:p>
    <w:p w14:paraId="6C74A2FD" w14:textId="77777777" w:rsidR="003F3916" w:rsidRPr="003F3916" w:rsidRDefault="003F3916" w:rsidP="003F3916">
      <w:pPr>
        <w:jc w:val="both"/>
        <w:rPr>
          <w:rFonts w:ascii="Times New Roman" w:eastAsia="Times New Roman" w:hAnsi="Times New Roman" w:cs="Times New Roman"/>
        </w:rPr>
      </w:pPr>
    </w:p>
    <w:p w14:paraId="519DBB92" w14:textId="77777777" w:rsidR="003F3916" w:rsidRPr="003F3916" w:rsidRDefault="003F3916" w:rsidP="003F3916">
      <w:pPr>
        <w:jc w:val="both"/>
        <w:rPr>
          <w:rFonts w:ascii="Times New Roman" w:eastAsia="Times New Roman" w:hAnsi="Times New Roman" w:cs="Times New Roman"/>
        </w:rPr>
      </w:pPr>
      <w:r w:rsidRPr="003F3916">
        <w:rPr>
          <w:rFonts w:ascii="Arial" w:eastAsia="Times New Roman" w:hAnsi="Arial" w:cs="Arial"/>
          <w:color w:val="000000"/>
          <w:sz w:val="22"/>
          <w:szCs w:val="22"/>
        </w:rPr>
        <w:t xml:space="preserve">Yours </w:t>
      </w:r>
    </w:p>
    <w:p w14:paraId="2B31AD07" w14:textId="77777777" w:rsidR="003F3916" w:rsidRPr="003F3916" w:rsidRDefault="003F3916" w:rsidP="003F3916">
      <w:pPr>
        <w:jc w:val="both"/>
        <w:rPr>
          <w:rFonts w:ascii="Times New Roman" w:eastAsia="Times New Roman" w:hAnsi="Times New Roman" w:cs="Times New Roman"/>
        </w:rPr>
      </w:pPr>
    </w:p>
    <w:p w14:paraId="48139F44" w14:textId="77777777" w:rsidR="003F3916" w:rsidRDefault="003F3916" w:rsidP="003F3916">
      <w:pPr>
        <w:jc w:val="both"/>
      </w:pPr>
    </w:p>
    <w:sectPr w:rsidR="003F3916" w:rsidSect="003542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8FF"/>
    <w:multiLevelType w:val="multilevel"/>
    <w:tmpl w:val="F530B3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B107B"/>
    <w:multiLevelType w:val="multilevel"/>
    <w:tmpl w:val="DAE2CF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42591A"/>
    <w:multiLevelType w:val="multilevel"/>
    <w:tmpl w:val="0DA4C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CA2F55"/>
    <w:multiLevelType w:val="multilevel"/>
    <w:tmpl w:val="0C1E2C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D84848"/>
    <w:multiLevelType w:val="multilevel"/>
    <w:tmpl w:val="91B08C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23E7D"/>
    <w:multiLevelType w:val="multilevel"/>
    <w:tmpl w:val="25DA7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9B6864"/>
    <w:multiLevelType w:val="multilevel"/>
    <w:tmpl w:val="18EA1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C22121"/>
    <w:multiLevelType w:val="multilevel"/>
    <w:tmpl w:val="45F8C9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632E89"/>
    <w:multiLevelType w:val="multilevel"/>
    <w:tmpl w:val="F0C41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AE4EBF"/>
    <w:multiLevelType w:val="multilevel"/>
    <w:tmpl w:val="724E9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6"/>
    <w:lvlOverride w:ilvl="0">
      <w:lvl w:ilvl="0">
        <w:numFmt w:val="decimal"/>
        <w:lvlText w:val="%1."/>
        <w:lvlJc w:val="left"/>
      </w:lvl>
    </w:lvlOverride>
  </w:num>
  <w:num w:numId="3">
    <w:abstractNumId w:val="5"/>
    <w:lvlOverride w:ilvl="0">
      <w:lvl w:ilvl="0">
        <w:numFmt w:val="decimal"/>
        <w:lvlText w:val="%1."/>
        <w:lvlJc w:val="left"/>
      </w:lvl>
    </w:lvlOverride>
  </w:num>
  <w:num w:numId="4">
    <w:abstractNumId w:val="8"/>
    <w:lvlOverride w:ilvl="0">
      <w:lvl w:ilvl="0">
        <w:numFmt w:val="decimal"/>
        <w:lvlText w:val="%1."/>
        <w:lvlJc w:val="left"/>
      </w:lvl>
    </w:lvlOverride>
  </w:num>
  <w:num w:numId="5">
    <w:abstractNumId w:val="2"/>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
    <w:lvlOverride w:ilvl="0">
      <w:lvl w:ilvl="0">
        <w:numFmt w:val="decimal"/>
        <w:lvlText w:val="%1."/>
        <w:lvlJc w:val="left"/>
      </w:lvl>
    </w:lvlOverride>
  </w:num>
  <w:num w:numId="8">
    <w:abstractNumId w:val="4"/>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916"/>
    <w:rsid w:val="0008481B"/>
    <w:rsid w:val="003542F9"/>
    <w:rsid w:val="003F3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618E"/>
  <w15:chartTrackingRefBased/>
  <w15:docId w15:val="{86052598-1060-6240-B862-C59D3C5CB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39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F3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433857">
      <w:bodyDiv w:val="1"/>
      <w:marLeft w:val="0"/>
      <w:marRight w:val="0"/>
      <w:marTop w:val="0"/>
      <w:marBottom w:val="0"/>
      <w:divBdr>
        <w:top w:val="none" w:sz="0" w:space="0" w:color="auto"/>
        <w:left w:val="none" w:sz="0" w:space="0" w:color="auto"/>
        <w:bottom w:val="none" w:sz="0" w:space="0" w:color="auto"/>
        <w:right w:val="none" w:sz="0" w:space="0" w:color="auto"/>
      </w:divBdr>
    </w:div>
    <w:div w:id="676465427">
      <w:bodyDiv w:val="1"/>
      <w:marLeft w:val="0"/>
      <w:marRight w:val="0"/>
      <w:marTop w:val="0"/>
      <w:marBottom w:val="0"/>
      <w:divBdr>
        <w:top w:val="none" w:sz="0" w:space="0" w:color="auto"/>
        <w:left w:val="none" w:sz="0" w:space="0" w:color="auto"/>
        <w:bottom w:val="none" w:sz="0" w:space="0" w:color="auto"/>
        <w:right w:val="none" w:sz="0" w:space="0" w:color="auto"/>
      </w:divBdr>
    </w:div>
    <w:div w:id="778178231">
      <w:bodyDiv w:val="1"/>
      <w:marLeft w:val="0"/>
      <w:marRight w:val="0"/>
      <w:marTop w:val="0"/>
      <w:marBottom w:val="0"/>
      <w:divBdr>
        <w:top w:val="none" w:sz="0" w:space="0" w:color="auto"/>
        <w:left w:val="none" w:sz="0" w:space="0" w:color="auto"/>
        <w:bottom w:val="none" w:sz="0" w:space="0" w:color="auto"/>
        <w:right w:val="none" w:sz="0" w:space="0" w:color="auto"/>
      </w:divBdr>
    </w:div>
    <w:div w:id="85453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ussbriefs/why-test-1-must-be-dropped-a-critique-of-its-design-and-implementation-1358c612a2a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u.org.uk/media/9999/TPR-risks-letter-to-the-USS-Trustee-Dec-18/pdf/uss_tpr_Mike_Birch_to_Sir_David_Eastwood_-_11_December_2018.pdf" TargetMode="External"/><Relationship Id="rId12" Type="http://schemas.openxmlformats.org/officeDocument/2006/relationships/hyperlink" Target="https://www.ucu.org.uk/media/10076/USS-NDC-branch-employer-lobby-briefing-Jan-19/pdf/NDC_Branch_Briefing_Document_on_USS_31January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semployers.org.uk/sites/default/files/field/attachemnt/2018-technical-provisions-consultation.pdf" TargetMode="External"/><Relationship Id="rId11" Type="http://schemas.openxmlformats.org/officeDocument/2006/relationships/hyperlink" Target="https://academicfreedom.watch/sites/default/files/2018-10/UUK%20Response%20to%20USS-S.PDF" TargetMode="External"/><Relationship Id="rId5" Type="http://schemas.openxmlformats.org/officeDocument/2006/relationships/hyperlink" Target="http://www.ussjep.org.uk/report-of-the-joint-expert-panel/" TargetMode="External"/><Relationship Id="rId10" Type="http://schemas.openxmlformats.org/officeDocument/2006/relationships/hyperlink" Target="https://www.uss.co.uk/how-uss-invests/the-fund/performance" TargetMode="External"/><Relationship Id="rId4" Type="http://schemas.openxmlformats.org/officeDocument/2006/relationships/webSettings" Target="webSettings.xml"/><Relationship Id="rId9" Type="http://schemas.openxmlformats.org/officeDocument/2006/relationships/hyperlink" Target="http://www.ussjep.org.uk/report-of-the-joint-expert-pan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Grady</dc:creator>
  <cp:keywords/>
  <dc:description/>
  <cp:lastModifiedBy>Jo Grady</cp:lastModifiedBy>
  <cp:revision>2</cp:revision>
  <dcterms:created xsi:type="dcterms:W3CDTF">2019-02-14T15:33:00Z</dcterms:created>
  <dcterms:modified xsi:type="dcterms:W3CDTF">2019-02-14T15:43:00Z</dcterms:modified>
</cp:coreProperties>
</file>